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spacing w:after="60"/>
        <w:rPr>
          <w:rFonts w:hint="default" w:eastAsia="宋体"/>
          <w:sz w:val="32"/>
          <w:szCs w:val="32"/>
          <w:lang w:val="en-US" w:eastAsia="zh-CN"/>
        </w:rPr>
      </w:pPr>
      <w:r>
        <w:t>3GPP TSG RAN WG</w:t>
      </w:r>
      <w:r>
        <w:rPr>
          <w:rFonts w:hint="eastAsia" w:eastAsia="宋体"/>
          <w:lang w:val="en-US" w:eastAsia="zh-CN"/>
        </w:rPr>
        <w:t>2</w:t>
      </w:r>
      <w:r>
        <w:t xml:space="preserve"> #1</w:t>
      </w:r>
      <w:r>
        <w:rPr>
          <w:rFonts w:hint="eastAsia" w:eastAsia="宋体"/>
          <w:lang w:val="en-US" w:eastAsia="zh-CN"/>
        </w:rPr>
        <w:t>22</w:t>
      </w:r>
      <w:r>
        <w:tab/>
      </w:r>
      <w:r>
        <w:t>R</w:t>
      </w:r>
      <w:r>
        <w:rPr>
          <w:rFonts w:hint="eastAsia" w:eastAsia="宋体"/>
          <w:lang w:val="en-US" w:eastAsia="zh-CN"/>
        </w:rPr>
        <w:t>2</w:t>
      </w:r>
      <w:r>
        <w:t>-</w:t>
      </w:r>
      <w:r>
        <w:rPr>
          <w:rFonts w:hint="eastAsia" w:eastAsia="宋体"/>
          <w:lang w:val="en-US" w:eastAsia="zh-CN"/>
        </w:rPr>
        <w:t>2306109</w:t>
      </w:r>
    </w:p>
    <w:p>
      <w:pPr>
        <w:pStyle w:val="17"/>
        <w:tabs>
          <w:tab w:val="left" w:pos="1701"/>
          <w:tab w:val="right" w:pos="9923"/>
          <w:tab w:val="clear" w:pos="4680"/>
          <w:tab w:val="clear" w:pos="9360"/>
        </w:tabs>
        <w:rPr>
          <w:rFonts w:hint="eastAsia" w:ascii="Arial" w:hAnsi="Arial" w:cs="Arial"/>
          <w:b/>
          <w:bCs/>
          <w:kern w:val="0"/>
          <w:sz w:val="24"/>
          <w:lang w:val="en-US" w:eastAsia="zh-CN"/>
        </w:rPr>
      </w:pPr>
      <w:r>
        <w:rPr>
          <w:rFonts w:hint="eastAsia" w:ascii="Arial" w:hAnsi="Arial" w:cs="Arial"/>
          <w:b/>
          <w:bCs/>
          <w:kern w:val="0"/>
          <w:sz w:val="24"/>
          <w:lang w:val="en-US" w:eastAsia="zh-CN"/>
        </w:rPr>
        <w:t>Incheon, Korea, May 22-26, 2023</w:t>
      </w:r>
    </w:p>
    <w:p>
      <w:pPr>
        <w:pStyle w:val="38"/>
        <w:spacing w:after="0"/>
        <w:rPr>
          <w:rFonts w:cs="Arial"/>
          <w:sz w:val="22"/>
        </w:rPr>
      </w:pPr>
    </w:p>
    <w:p>
      <w:pPr>
        <w:pStyle w:val="38"/>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eastAsia="宋体" w:cs="Arial"/>
          <w:sz w:val="22"/>
          <w:lang w:val="en-US" w:eastAsia="zh-CN"/>
        </w:rPr>
      </w:pPr>
      <w:r>
        <w:rPr>
          <w:rFonts w:cs="Arial"/>
          <w:sz w:val="22"/>
        </w:rPr>
        <w:t>Agenda Item:</w:t>
      </w:r>
      <w:r>
        <w:rPr>
          <w:rFonts w:cs="Arial"/>
          <w:sz w:val="22"/>
        </w:rPr>
        <w:tab/>
      </w:r>
      <w:r>
        <w:rPr>
          <w:rFonts w:ascii="Arial" w:hAnsi="Arial" w:cs="Arial"/>
          <w:sz w:val="22"/>
        </w:rPr>
        <w:t>8.</w:t>
      </w:r>
      <w:r>
        <w:rPr>
          <w:rFonts w:hint="eastAsia" w:eastAsia="宋体" w:cs="Arial"/>
          <w:sz w:val="22"/>
          <w:lang w:val="en-US" w:eastAsia="zh-CN"/>
        </w:rPr>
        <w:t>14</w:t>
      </w:r>
      <w:r>
        <w:rPr>
          <w:rFonts w:ascii="Arial" w:hAnsi="Arial" w:cs="Arial"/>
          <w:sz w:val="22"/>
        </w:rPr>
        <w:t>.</w:t>
      </w:r>
      <w:r>
        <w:rPr>
          <w:rFonts w:hint="eastAsia" w:eastAsia="宋体" w:cs="Arial"/>
          <w:sz w:val="22"/>
          <w:lang w:val="en-US" w:eastAsia="zh-CN"/>
        </w:rPr>
        <w:t>3</w:t>
      </w:r>
    </w:p>
    <w:p>
      <w:pPr>
        <w:pStyle w:val="38"/>
        <w:keepNext w:val="0"/>
        <w:keepLines w:val="0"/>
        <w:pageBreakBefore w:val="0"/>
        <w:widowControl/>
        <w:kinsoku/>
        <w:wordWrap/>
        <w:overflowPunct/>
        <w:topLinePunct w:val="0"/>
        <w:autoSpaceDE/>
        <w:autoSpaceDN/>
        <w:bidi w:val="0"/>
        <w:adjustRightInd/>
        <w:snapToGrid/>
        <w:spacing w:after="0" w:line="300" w:lineRule="auto"/>
        <w:textAlignment w:val="auto"/>
        <w:rPr>
          <w:rFonts w:hint="default" w:eastAsia="宋体" w:cs="Arial"/>
          <w:sz w:val="22"/>
          <w:lang w:val="en-US" w:eastAsia="zh-CN"/>
        </w:rPr>
      </w:pPr>
      <w:r>
        <w:rPr>
          <w:rFonts w:cs="Arial"/>
          <w:sz w:val="22"/>
        </w:rPr>
        <w:t>Source:</w:t>
      </w:r>
      <w:r>
        <w:rPr>
          <w:rFonts w:cs="Arial"/>
          <w:sz w:val="22"/>
        </w:rPr>
        <w:tab/>
      </w:r>
      <w:r>
        <w:rPr>
          <w:rFonts w:hint="eastAsia" w:eastAsia="宋体" w:cs="Arial"/>
          <w:sz w:val="22"/>
          <w:lang w:val="en-US" w:eastAsia="zh-CN"/>
        </w:rPr>
        <w:t>ZTE Corporation, Sanechips</w:t>
      </w:r>
    </w:p>
    <w:p>
      <w:pPr>
        <w:pStyle w:val="38"/>
        <w:keepNext w:val="0"/>
        <w:keepLines w:val="0"/>
        <w:pageBreakBefore w:val="0"/>
        <w:widowControl/>
        <w:kinsoku/>
        <w:wordWrap/>
        <w:overflowPunct/>
        <w:topLinePunct w:val="0"/>
        <w:autoSpaceDE/>
        <w:autoSpaceDN/>
        <w:bidi w:val="0"/>
        <w:adjustRightInd/>
        <w:snapToGrid/>
        <w:spacing w:after="0" w:line="300" w:lineRule="auto"/>
        <w:textAlignment w:val="auto"/>
        <w:rPr>
          <w:rFonts w:hint="default" w:eastAsia="宋体" w:cs="Arial"/>
          <w:sz w:val="22"/>
          <w:lang w:val="en-US" w:eastAsia="zh-CN"/>
        </w:rPr>
      </w:pPr>
      <w:r>
        <w:rPr>
          <w:rFonts w:cs="Arial"/>
          <w:sz w:val="22"/>
        </w:rPr>
        <w:t>Title:</w:t>
      </w:r>
      <w:r>
        <w:rPr>
          <w:rFonts w:cs="Arial"/>
          <w:sz w:val="22"/>
        </w:rPr>
        <w:tab/>
      </w:r>
      <w:r>
        <w:rPr>
          <w:rFonts w:hint="eastAsia" w:eastAsia="宋体" w:cs="Arial"/>
          <w:sz w:val="22"/>
          <w:lang w:val="en-US" w:eastAsia="zh-CN"/>
        </w:rPr>
        <w:t>C</w:t>
      </w:r>
      <w:r>
        <w:rPr>
          <w:rFonts w:hint="eastAsia" w:eastAsia="宋体"/>
          <w:sz w:val="22"/>
          <w:lang w:eastAsia="zh-CN"/>
        </w:rPr>
        <w:t>on</w:t>
      </w:r>
      <w:r>
        <w:rPr>
          <w:rFonts w:hint="eastAsia" w:eastAsia="宋体"/>
          <w:sz w:val="22"/>
          <w:lang w:val="en-US" w:eastAsia="zh-CN"/>
        </w:rPr>
        <w:t>siderations on Rel-17 leftover issues for QoE</w:t>
      </w:r>
    </w:p>
    <w:p>
      <w:pPr>
        <w:pStyle w:val="38"/>
        <w:keepNext w:val="0"/>
        <w:keepLines w:val="0"/>
        <w:pageBreakBefore w:val="0"/>
        <w:widowControl/>
        <w:kinsoku/>
        <w:wordWrap/>
        <w:overflowPunct/>
        <w:topLinePunct w:val="0"/>
        <w:autoSpaceDE/>
        <w:autoSpaceDN/>
        <w:bidi w:val="0"/>
        <w:adjustRightInd/>
        <w:snapToGrid/>
        <w:spacing w:after="0" w:line="300" w:lineRule="auto"/>
        <w:textAlignment w:val="auto"/>
        <w:rPr>
          <w:rFonts w:cs="Arial"/>
          <w:sz w:val="22"/>
        </w:rPr>
      </w:pPr>
      <w:r>
        <w:rPr>
          <w:rFonts w:cs="Arial"/>
          <w:sz w:val="22"/>
        </w:rPr>
        <w:t>Document for:</w:t>
      </w:r>
      <w:r>
        <w:rPr>
          <w:rFonts w:cs="Arial"/>
          <w:sz w:val="22"/>
        </w:rPr>
        <w:tab/>
      </w:r>
      <w:r>
        <w:rPr>
          <w:rFonts w:cs="Arial"/>
          <w:sz w:val="22"/>
        </w:rPr>
        <w:t>Discussion and Decision</w:t>
      </w:r>
    </w:p>
    <w:p>
      <w:pPr>
        <w:pStyle w:val="38"/>
        <w:spacing w:after="0"/>
        <w:rPr>
          <w:color w:val="FF0000"/>
          <w:sz w:val="22"/>
        </w:rPr>
      </w:pPr>
    </w:p>
    <w:p>
      <w:pPr>
        <w:pStyle w:val="2"/>
        <w:rPr>
          <w:rFonts w:cs="Arial"/>
          <w:b/>
          <w:bCs/>
          <w:lang w:val="en-US"/>
        </w:rPr>
      </w:pPr>
      <w:r>
        <w:rPr>
          <w:rFonts w:cs="Arial"/>
          <w:b/>
          <w:bCs/>
          <w:lang w:val="en-US"/>
        </w:rPr>
        <w:t>Introduction</w:t>
      </w:r>
    </w:p>
    <w:p>
      <w:pPr>
        <w:pStyle w:val="69"/>
        <w:spacing w:before="120" w:beforeLines="50" w:afterLines="50"/>
        <w:jc w:val="both"/>
        <w:textAlignment w:val="center"/>
        <w:rPr>
          <w:rFonts w:ascii="Times New Roman" w:hAnsi="Times New Roman"/>
          <w:sz w:val="22"/>
          <w:szCs w:val="22"/>
          <w:lang w:val="en-US" w:eastAsia="zh-CN"/>
        </w:rPr>
      </w:pPr>
      <w:r>
        <w:rPr>
          <w:rFonts w:ascii="Times New Roman" w:hAnsi="Times New Roman"/>
          <w:sz w:val="22"/>
          <w:szCs w:val="22"/>
          <w:lang w:eastAsia="zh-CN"/>
        </w:rPr>
        <w:t xml:space="preserve">The </w:t>
      </w:r>
      <w:r>
        <w:rPr>
          <w:rFonts w:ascii="Times New Roman" w:hAnsi="Times New Roman"/>
          <w:sz w:val="22"/>
          <w:szCs w:val="22"/>
          <w:lang w:val="en-US" w:eastAsia="zh-CN"/>
        </w:rPr>
        <w:t>new WID</w:t>
      </w:r>
      <w:r>
        <w:rPr>
          <w:rFonts w:ascii="Times New Roman" w:hAnsi="Times New Roman"/>
          <w:sz w:val="22"/>
          <w:szCs w:val="22"/>
          <w:lang w:eastAsia="zh-CN"/>
        </w:rPr>
        <w:t xml:space="preserve"> of </w:t>
      </w:r>
      <w:r>
        <w:rPr>
          <w:rFonts w:hint="eastAsia" w:ascii="Times New Roman" w:hAnsi="Times New Roman"/>
          <w:sz w:val="22"/>
          <w:szCs w:val="22"/>
          <w:lang w:val="en-US" w:eastAsia="zh-CN"/>
        </w:rPr>
        <w:t>e</w:t>
      </w:r>
      <w:r>
        <w:rPr>
          <w:rFonts w:hint="eastAsia" w:ascii="Times New Roman" w:hAnsi="Times New Roman"/>
          <w:sz w:val="22"/>
          <w:szCs w:val="22"/>
          <w:lang w:eastAsia="zh-CN"/>
        </w:rPr>
        <w:t>nhancement on NR QoE management and optimizations for diverse services</w:t>
      </w:r>
      <w:r>
        <w:rPr>
          <w:rFonts w:ascii="Times New Roman" w:hAnsi="Times New Roman"/>
          <w:sz w:val="22"/>
          <w:szCs w:val="22"/>
          <w:lang w:eastAsia="zh-CN"/>
        </w:rPr>
        <w:t xml:space="preserve"> w</w:t>
      </w:r>
      <w:r>
        <w:rPr>
          <w:rFonts w:hint="eastAsia" w:ascii="Times New Roman" w:hAnsi="Times New Roman"/>
          <w:sz w:val="22"/>
          <w:szCs w:val="22"/>
          <w:lang w:val="en-US" w:eastAsia="zh-CN"/>
        </w:rPr>
        <w:t>a</w:t>
      </w:r>
      <w:r>
        <w:rPr>
          <w:rFonts w:ascii="Times New Roman" w:hAnsi="Times New Roman"/>
          <w:sz w:val="22"/>
          <w:szCs w:val="22"/>
          <w:lang w:val="en-US" w:eastAsia="zh-CN"/>
        </w:rPr>
        <w:t>s</w:t>
      </w:r>
      <w:r>
        <w:rPr>
          <w:rFonts w:ascii="Times New Roman" w:hAnsi="Times New Roman"/>
          <w:sz w:val="22"/>
          <w:szCs w:val="22"/>
          <w:lang w:eastAsia="zh-CN"/>
        </w:rPr>
        <w:t xml:space="preserve"> approved in RAN#</w:t>
      </w:r>
      <w:r>
        <w:rPr>
          <w:rFonts w:hint="eastAsia" w:ascii="Times New Roman" w:hAnsi="Times New Roman"/>
          <w:sz w:val="22"/>
          <w:szCs w:val="22"/>
          <w:lang w:val="en-US" w:eastAsia="zh-CN"/>
        </w:rPr>
        <w:t>96</w:t>
      </w:r>
      <w:r>
        <w:rPr>
          <w:rFonts w:ascii="Times New Roman" w:hAnsi="Times New Roman"/>
          <w:sz w:val="22"/>
          <w:szCs w:val="22"/>
          <w:lang w:eastAsia="zh-CN"/>
        </w:rPr>
        <w:t>[</w:t>
      </w:r>
      <w:r>
        <w:rPr>
          <w:rFonts w:ascii="Times New Roman" w:hAnsi="Times New Roman"/>
          <w:sz w:val="22"/>
          <w:szCs w:val="22"/>
          <w:lang w:val="en-US" w:eastAsia="zh-CN"/>
        </w:rPr>
        <w:t>1</w:t>
      </w:r>
      <w:r>
        <w:rPr>
          <w:rFonts w:ascii="Times New Roman" w:hAnsi="Times New Roman"/>
          <w:sz w:val="22"/>
          <w:szCs w:val="22"/>
          <w:lang w:eastAsia="zh-CN"/>
        </w:rPr>
        <w:t>]</w:t>
      </w:r>
      <w:r>
        <w:rPr>
          <w:rFonts w:ascii="Times New Roman" w:hAnsi="Times New Roman"/>
          <w:sz w:val="22"/>
          <w:szCs w:val="22"/>
          <w:lang w:val="en-US" w:eastAsia="zh-CN"/>
        </w:rPr>
        <w:t xml:space="preserve">. In which, the following </w:t>
      </w:r>
      <w:r>
        <w:rPr>
          <w:rFonts w:ascii="Times New Roman" w:hAnsi="Times New Roman"/>
          <w:sz w:val="22"/>
          <w:szCs w:val="22"/>
          <w:lang w:eastAsia="zh-CN"/>
        </w:rPr>
        <w:t xml:space="preserve">objective </w:t>
      </w:r>
      <w:r>
        <w:rPr>
          <w:rFonts w:ascii="Times New Roman" w:hAnsi="Times New Roman"/>
          <w:sz w:val="22"/>
          <w:szCs w:val="22"/>
          <w:lang w:val="en-US" w:eastAsia="zh-CN"/>
        </w:rPr>
        <w:t>is included</w:t>
      </w:r>
      <w:r>
        <w:rPr>
          <w:rFonts w:ascii="Times New Roman" w:hAnsi="Times New Roman"/>
          <w:sz w:val="22"/>
          <w:szCs w:val="22"/>
          <w:lang w:eastAsia="zh-CN"/>
        </w:rPr>
        <w:t>:</w:t>
      </w:r>
    </w:p>
    <w:tbl>
      <w:tblPr>
        <w:tblStyle w:val="22"/>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5" w:type="dxa"/>
          </w:tcPr>
          <w:p>
            <w:pPr>
              <w:spacing w:after="0"/>
              <w:ind w:left="360"/>
              <w:jc w:val="both"/>
              <w:textAlignment w:val="center"/>
              <w:rPr>
                <w:rFonts w:eastAsia="宋体"/>
                <w:bCs/>
                <w:i/>
                <w:sz w:val="22"/>
                <w:szCs w:val="22"/>
              </w:rPr>
            </w:pPr>
            <w:r>
              <w:rPr>
                <w:rFonts w:eastAsia="宋体"/>
                <w:bCs/>
                <w:i/>
                <w:sz w:val="22"/>
                <w:szCs w:val="22"/>
              </w:rPr>
              <w:t>...</w:t>
            </w:r>
          </w:p>
          <w:p>
            <w:pPr>
              <w:numPr>
                <w:ilvl w:val="0"/>
                <w:numId w:val="7"/>
              </w:numPr>
              <w:spacing w:before="120" w:beforeLines="50" w:after="0"/>
              <w:jc w:val="both"/>
              <w:rPr>
                <w:bCs/>
                <w:i/>
                <w:iCs/>
                <w:lang w:val="en-US" w:eastAsia="zh-CN"/>
              </w:rPr>
            </w:pPr>
            <w:r>
              <w:rPr>
                <w:rFonts w:hint="eastAsia"/>
                <w:i/>
                <w:iCs/>
                <w:lang w:eastAsia="zh-CN"/>
              </w:rPr>
              <w:t>Left-over features</w:t>
            </w:r>
            <w:r>
              <w:rPr>
                <w:rFonts w:hint="eastAsia"/>
                <w:i/>
                <w:iCs/>
                <w:lang w:val="en-US" w:eastAsia="zh-CN"/>
              </w:rPr>
              <w:t xml:space="preserve"> from Rel-17, as well as the enhancements of existing features which are not included in Rel-17 normative phase, should be </w:t>
            </w:r>
            <w:r>
              <w:rPr>
                <w:i/>
                <w:iCs/>
                <w:lang w:val="en-US" w:eastAsia="zh-CN"/>
              </w:rPr>
              <w:t>supported</w:t>
            </w:r>
            <w:r>
              <w:rPr>
                <w:rFonts w:hint="eastAsia"/>
                <w:i/>
                <w:iCs/>
                <w:lang w:val="en-US" w:eastAsia="zh-CN"/>
              </w:rPr>
              <w:t xml:space="preserve"> in Rel-18 </w:t>
            </w:r>
            <w:r>
              <w:rPr>
                <w:i/>
                <w:iCs/>
                <w:lang w:val="en-US" w:eastAsia="zh-CN"/>
              </w:rPr>
              <w:t>if consensus on benefits are reached</w:t>
            </w:r>
            <w:r>
              <w:rPr>
                <w:rFonts w:hint="eastAsia"/>
                <w:i/>
                <w:iCs/>
                <w:lang w:val="en-US" w:eastAsia="zh-CN"/>
              </w:rPr>
              <w:t xml:space="preserve"> </w:t>
            </w:r>
            <w:r>
              <w:rPr>
                <w:rFonts w:hint="eastAsia"/>
                <w:i/>
                <w:iCs/>
                <w:lang w:eastAsia="zh-CN"/>
              </w:rPr>
              <w:t>[</w:t>
            </w:r>
            <w:r>
              <w:rPr>
                <w:rFonts w:hint="eastAsia"/>
                <w:i/>
                <w:iCs/>
                <w:lang w:val="en-US" w:eastAsia="zh-CN"/>
              </w:rPr>
              <w:t>RAN3</w:t>
            </w:r>
            <w:r>
              <w:rPr>
                <w:rFonts w:hint="eastAsia"/>
                <w:i/>
                <w:iCs/>
                <w:lang w:eastAsia="zh-CN"/>
              </w:rPr>
              <w:t>, RAN2].</w:t>
            </w:r>
          </w:p>
          <w:p>
            <w:pPr>
              <w:numPr>
                <w:ilvl w:val="0"/>
                <w:numId w:val="8"/>
              </w:numPr>
              <w:spacing w:after="0"/>
              <w:rPr>
                <w:bCs/>
                <w:i/>
                <w:iCs/>
                <w:lang w:val="en-US" w:eastAsia="zh-CN"/>
              </w:rPr>
            </w:pPr>
            <w:r>
              <w:rPr>
                <w:bCs/>
                <w:i/>
                <w:iCs/>
                <w:lang w:val="en-US" w:eastAsia="zh-CN"/>
              </w:rPr>
              <w:t>Specify per-slice QoE measurement configuration enhancement.</w:t>
            </w:r>
          </w:p>
          <w:p>
            <w:pPr>
              <w:numPr>
                <w:ilvl w:val="0"/>
                <w:numId w:val="8"/>
              </w:numPr>
              <w:spacing w:after="0"/>
              <w:rPr>
                <w:bCs/>
                <w:i/>
                <w:iCs/>
                <w:lang w:val="en-US" w:eastAsia="zh-CN"/>
              </w:rPr>
            </w:pPr>
            <w:r>
              <w:rPr>
                <w:bCs/>
                <w:i/>
                <w:iCs/>
                <w:lang w:val="en-US" w:eastAsia="zh-CN"/>
              </w:rPr>
              <w:t>Specify RAN visible QoE enhancements for QoE value, RAN visible QoE trigger event</w:t>
            </w:r>
            <w:r>
              <w:rPr>
                <w:rFonts w:hint="eastAsia"/>
                <w:bCs/>
                <w:i/>
                <w:iCs/>
                <w:lang w:val="en-US" w:eastAsia="zh-CN"/>
              </w:rPr>
              <w:t xml:space="preserve">, </w:t>
            </w:r>
            <w:r>
              <w:rPr>
                <w:bCs/>
                <w:i/>
                <w:iCs/>
                <w:lang w:val="en-US" w:eastAsia="zh-CN"/>
              </w:rPr>
              <w:t>RAN visible QoE Report over F1.</w:t>
            </w:r>
          </w:p>
          <w:p>
            <w:pPr>
              <w:numPr>
                <w:ilvl w:val="0"/>
                <w:numId w:val="8"/>
              </w:numPr>
              <w:spacing w:after="0"/>
              <w:rPr>
                <w:bCs/>
                <w:i/>
                <w:iCs/>
                <w:highlight w:val="none"/>
                <w:lang w:val="en-US" w:eastAsia="zh-CN"/>
              </w:rPr>
            </w:pPr>
            <w:r>
              <w:rPr>
                <w:bCs/>
                <w:i/>
                <w:iCs/>
                <w:highlight w:val="none"/>
                <w:lang w:val="en-US" w:eastAsia="zh-CN"/>
              </w:rPr>
              <w:t xml:space="preserve">Specify QoE reporting handling enhancement for </w:t>
            </w:r>
            <w:r>
              <w:rPr>
                <w:bCs/>
                <w:i/>
                <w:iCs/>
                <w:highlight w:val="none"/>
                <w:lang w:val="en-US" w:eastAsia="zh-CN" w:bidi="ar"/>
              </w:rPr>
              <w:t xml:space="preserve">overload </w:t>
            </w:r>
            <w:r>
              <w:rPr>
                <w:bCs/>
                <w:i/>
                <w:iCs/>
                <w:highlight w:val="none"/>
                <w:lang w:val="en-US" w:eastAsia="zh-CN"/>
              </w:rPr>
              <w:t>scenario</w:t>
            </w:r>
            <w:r>
              <w:rPr>
                <w:bCs/>
                <w:i/>
                <w:iCs/>
                <w:highlight w:val="none"/>
                <w:lang w:val="en-US" w:eastAsia="zh-CN" w:bidi="ar"/>
              </w:rPr>
              <w:t>.</w:t>
            </w:r>
          </w:p>
          <w:p>
            <w:pPr>
              <w:pStyle w:val="45"/>
              <w:numPr>
                <w:ilvl w:val="0"/>
                <w:numId w:val="0"/>
              </w:numPr>
              <w:spacing w:after="0"/>
              <w:ind w:left="0" w:leftChars="0"/>
              <w:jc w:val="both"/>
              <w:textAlignment w:val="center"/>
              <w:rPr>
                <w:rFonts w:eastAsia="宋体"/>
                <w:bCs/>
                <w:i/>
                <w:sz w:val="20"/>
                <w:szCs w:val="20"/>
              </w:rPr>
            </w:pPr>
          </w:p>
        </w:tc>
      </w:tr>
    </w:tbl>
    <w:p>
      <w:pPr>
        <w:spacing w:before="120" w:beforeLines="50" w:after="100"/>
      </w:pPr>
      <w:r>
        <w:rPr>
          <w:rFonts w:hint="eastAsia"/>
        </w:rPr>
        <w:t>In RAN2#11</w:t>
      </w:r>
      <w:r>
        <w:rPr>
          <w:rFonts w:hint="eastAsia" w:eastAsia="宋体"/>
          <w:lang w:eastAsia="zh-CN"/>
        </w:rPr>
        <w:t>9bis</w:t>
      </w:r>
      <w:r>
        <w:rPr>
          <w:rFonts w:hint="eastAsia"/>
        </w:rPr>
        <w:t xml:space="preserve"> e-meeting</w:t>
      </w:r>
      <w:r>
        <w:t>, based on the contributions,</w:t>
      </w:r>
      <w:r>
        <w:rPr>
          <w:rFonts w:hint="eastAsia"/>
        </w:rPr>
        <w:t xml:space="preserve"> </w:t>
      </w:r>
      <w:r>
        <w:t>the following agreements have been achieved:</w:t>
      </w:r>
    </w:p>
    <w:tbl>
      <w:tblPr>
        <w:tblStyle w:val="23"/>
        <w:tblW w:w="964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9" w:type="dxa"/>
          </w:tcPr>
          <w:p>
            <w:pPr>
              <w:numPr>
                <w:ilvl w:val="0"/>
                <w:numId w:val="9"/>
              </w:numPr>
              <w:tabs>
                <w:tab w:val="left" w:pos="0"/>
                <w:tab w:val="left" w:pos="1619"/>
              </w:tabs>
              <w:spacing w:after="40" w:line="276" w:lineRule="auto"/>
              <w:rPr>
                <w:rFonts w:hint="eastAsia" w:eastAsia="Times New Roman"/>
                <w:bCs/>
                <w:i/>
                <w:iCs/>
                <w:lang w:eastAsia="ja-JP"/>
              </w:rPr>
            </w:pPr>
            <w:r>
              <w:rPr>
                <w:rFonts w:hint="eastAsia" w:eastAsia="Times New Roman"/>
                <w:bCs/>
                <w:i/>
                <w:iCs/>
                <w:lang w:eastAsia="ja-JP"/>
              </w:rPr>
              <w:t>From RAN2’s perspective, there is no further work for per-slice-based QoE measurement.</w:t>
            </w:r>
          </w:p>
          <w:p>
            <w:pPr>
              <w:numPr>
                <w:ilvl w:val="0"/>
                <w:numId w:val="9"/>
              </w:numPr>
              <w:tabs>
                <w:tab w:val="left" w:pos="0"/>
                <w:tab w:val="left" w:pos="1619"/>
              </w:tabs>
              <w:spacing w:after="40" w:line="276" w:lineRule="auto"/>
              <w:rPr>
                <w:rFonts w:hint="eastAsia" w:eastAsia="Times New Roman"/>
                <w:bCs/>
                <w:i/>
                <w:iCs/>
                <w:lang w:eastAsia="ja-JP"/>
              </w:rPr>
            </w:pPr>
            <w:r>
              <w:rPr>
                <w:rFonts w:hint="eastAsia" w:eastAsia="Times New Roman"/>
                <w:bCs/>
                <w:i/>
                <w:iCs/>
                <w:lang w:eastAsia="ja-JP"/>
              </w:rPr>
              <w:t xml:space="preserve">RAN2 can wait for RAN3 progress on enhancement to per-slice RAN visible QoE measurement. </w:t>
            </w:r>
          </w:p>
          <w:p>
            <w:pPr>
              <w:numPr>
                <w:ilvl w:val="0"/>
                <w:numId w:val="9"/>
              </w:numPr>
              <w:tabs>
                <w:tab w:val="left" w:pos="0"/>
                <w:tab w:val="left" w:pos="1619"/>
              </w:tabs>
              <w:spacing w:after="40" w:line="276" w:lineRule="auto"/>
              <w:rPr>
                <w:rFonts w:hint="eastAsia" w:eastAsia="Times New Roman"/>
                <w:bCs/>
                <w:i/>
                <w:iCs/>
                <w:lang w:eastAsia="ja-JP"/>
              </w:rPr>
            </w:pPr>
            <w:r>
              <w:rPr>
                <w:rFonts w:hint="eastAsia" w:eastAsia="Times New Roman"/>
                <w:bCs/>
                <w:i/>
                <w:iCs/>
                <w:lang w:eastAsia="ja-JP"/>
              </w:rPr>
              <w:t xml:space="preserve">RAN2 needs to wait for the progress of RAN3 on RVQoE value. </w:t>
            </w:r>
          </w:p>
          <w:p>
            <w:pPr>
              <w:numPr>
                <w:ilvl w:val="0"/>
                <w:numId w:val="9"/>
              </w:numPr>
              <w:tabs>
                <w:tab w:val="left" w:pos="0"/>
                <w:tab w:val="left" w:pos="1619"/>
              </w:tabs>
              <w:spacing w:after="40" w:line="276" w:lineRule="auto"/>
              <w:rPr>
                <w:rFonts w:hint="eastAsia" w:eastAsia="Times New Roman"/>
                <w:bCs/>
                <w:i/>
                <w:iCs/>
                <w:lang w:eastAsia="ja-JP"/>
              </w:rPr>
            </w:pPr>
            <w:r>
              <w:rPr>
                <w:rFonts w:hint="eastAsia" w:eastAsia="Times New Roman"/>
                <w:bCs/>
                <w:i/>
                <w:iCs/>
                <w:lang w:eastAsia="ja-JP"/>
              </w:rPr>
              <w:t>The enhancement on UAI message to express the UE’s preference on QoE reporting configurations is not pursued.</w:t>
            </w:r>
          </w:p>
          <w:p>
            <w:pPr>
              <w:numPr>
                <w:ilvl w:val="0"/>
                <w:numId w:val="9"/>
              </w:numPr>
              <w:tabs>
                <w:tab w:val="left" w:pos="0"/>
                <w:tab w:val="left" w:pos="1619"/>
              </w:tabs>
              <w:spacing w:after="40" w:line="276" w:lineRule="auto"/>
              <w:rPr>
                <w:rFonts w:hint="eastAsia" w:eastAsia="Times New Roman"/>
                <w:bCs/>
                <w:i/>
                <w:iCs/>
                <w:lang w:eastAsia="ja-JP"/>
              </w:rPr>
            </w:pPr>
            <w:r>
              <w:rPr>
                <w:rFonts w:hint="eastAsia" w:eastAsia="Times New Roman"/>
                <w:bCs/>
                <w:i/>
                <w:iCs/>
                <w:lang w:eastAsia="ja-JP"/>
              </w:rPr>
              <w:t xml:space="preserve"> QoE reporting via unlicensed band is out of the WID scope. </w:t>
            </w:r>
          </w:p>
          <w:p>
            <w:pPr>
              <w:numPr>
                <w:ilvl w:val="0"/>
                <w:numId w:val="9"/>
              </w:numPr>
              <w:tabs>
                <w:tab w:val="left" w:pos="0"/>
                <w:tab w:val="left" w:pos="1619"/>
              </w:tabs>
              <w:spacing w:after="40" w:line="276" w:lineRule="auto"/>
              <w:rPr>
                <w:rFonts w:hint="eastAsia" w:eastAsia="Times New Roman"/>
                <w:bCs/>
                <w:i/>
                <w:iCs/>
                <w:highlight w:val="none"/>
                <w:lang w:eastAsia="ja-JP"/>
              </w:rPr>
            </w:pPr>
            <w:r>
              <w:rPr>
                <w:rFonts w:hint="eastAsia" w:eastAsia="Times New Roman"/>
                <w:bCs/>
                <w:i/>
                <w:iCs/>
                <w:highlight w:val="none"/>
                <w:lang w:eastAsia="ja-JP"/>
              </w:rPr>
              <w:t xml:space="preserve">RAN2 to postpone the discussion of the QoE reporting enhancement for overload scenario to the next meeting (based on the progress of RAN3).  </w:t>
            </w:r>
          </w:p>
          <w:p>
            <w:pPr>
              <w:numPr>
                <w:ilvl w:val="0"/>
                <w:numId w:val="9"/>
              </w:numPr>
              <w:tabs>
                <w:tab w:val="left" w:pos="0"/>
                <w:tab w:val="left" w:pos="1619"/>
              </w:tabs>
              <w:spacing w:after="40" w:line="276" w:lineRule="auto"/>
              <w:rPr>
                <w:rFonts w:hint="eastAsia" w:eastAsia="Times New Roman"/>
                <w:bCs/>
                <w:i/>
                <w:iCs/>
                <w:highlight w:val="none"/>
                <w:lang w:eastAsia="ja-JP"/>
              </w:rPr>
            </w:pPr>
            <w:r>
              <w:rPr>
                <w:rFonts w:hint="eastAsia" w:eastAsia="Times New Roman"/>
                <w:bCs/>
                <w:i/>
                <w:iCs/>
                <w:highlight w:val="none"/>
                <w:lang w:eastAsia="ja-JP"/>
              </w:rPr>
              <w:t xml:space="preserve">FFS on whether to send the priority information 1) UE and gNB or 2) only to gNB </w:t>
            </w:r>
          </w:p>
          <w:p>
            <w:pPr>
              <w:numPr>
                <w:ilvl w:val="0"/>
                <w:numId w:val="9"/>
              </w:numPr>
              <w:tabs>
                <w:tab w:val="left" w:pos="0"/>
                <w:tab w:val="left" w:pos="1619"/>
              </w:tabs>
              <w:spacing w:after="40" w:line="276" w:lineRule="auto"/>
              <w:rPr>
                <w:rFonts w:hint="eastAsia" w:eastAsia="Times New Roman"/>
                <w:bCs/>
                <w:i/>
                <w:iCs/>
                <w:highlight w:val="none"/>
                <w:lang w:eastAsia="ja-JP"/>
              </w:rPr>
            </w:pPr>
            <w:r>
              <w:rPr>
                <w:rFonts w:hint="eastAsia" w:eastAsia="Times New Roman"/>
                <w:bCs/>
                <w:i/>
                <w:iCs/>
                <w:highlight w:val="none"/>
                <w:lang w:eastAsia="ja-JP"/>
              </w:rPr>
              <w:t xml:space="preserve">To wait for RAN3 decision on granularity of priority. </w:t>
            </w:r>
          </w:p>
          <w:p>
            <w:pPr>
              <w:numPr>
                <w:ilvl w:val="0"/>
                <w:numId w:val="9"/>
              </w:numPr>
              <w:tabs>
                <w:tab w:val="left" w:pos="0"/>
                <w:tab w:val="left" w:pos="1619"/>
              </w:tabs>
              <w:spacing w:after="40" w:line="276" w:lineRule="auto"/>
              <w:rPr>
                <w:rFonts w:hint="eastAsia" w:eastAsia="Times New Roman"/>
                <w:bCs/>
                <w:i/>
                <w:iCs/>
                <w:highlight w:val="none"/>
                <w:lang w:eastAsia="ja-JP"/>
              </w:rPr>
            </w:pPr>
            <w:r>
              <w:rPr>
                <w:rFonts w:hint="eastAsia" w:eastAsia="Times New Roman"/>
                <w:bCs/>
                <w:i/>
                <w:iCs/>
                <w:highlight w:val="none"/>
                <w:lang w:eastAsia="ja-JP"/>
              </w:rPr>
              <w:t>RAN2 can discuss event-based RVQoE, including possible options, benefits, spec impacts, and complexities based on company contributions.</w:t>
            </w:r>
          </w:p>
          <w:p>
            <w:pPr>
              <w:numPr>
                <w:ilvl w:val="0"/>
                <w:numId w:val="9"/>
              </w:numPr>
              <w:tabs>
                <w:tab w:val="left" w:pos="0"/>
                <w:tab w:val="left" w:pos="1619"/>
              </w:tabs>
              <w:spacing w:after="40" w:line="276" w:lineRule="auto"/>
              <w:rPr>
                <w:lang w:val="en-GB" w:eastAsia="zh-CN"/>
              </w:rPr>
            </w:pPr>
            <w:r>
              <w:rPr>
                <w:rFonts w:hint="eastAsia" w:eastAsia="Times New Roman"/>
                <w:bCs/>
                <w:i/>
                <w:iCs/>
                <w:lang w:eastAsia="ja-JP"/>
              </w:rPr>
              <w:t>FFS whether to add the QoS flow ID in the RVQoE report. If RAN3 already agreed to this, RAN2 can progress this in the next meeting where we discuss Rel-17 leftovers.</w:t>
            </w:r>
          </w:p>
        </w:tc>
      </w:tr>
    </w:tbl>
    <w:p>
      <w:pPr>
        <w:spacing w:before="120" w:beforeLines="50" w:after="100"/>
        <w:jc w:val="both"/>
        <w:rPr>
          <w:rFonts w:hint="eastAsia"/>
          <w:lang w:val="en-GB"/>
        </w:rPr>
      </w:pPr>
      <w:r>
        <w:rPr>
          <w:rFonts w:hint="eastAsia"/>
        </w:rPr>
        <w:t>Based on the discussion in RAN2</w:t>
      </w:r>
      <w:bookmarkStart w:id="0" w:name="OLE_LINK15"/>
      <w:r>
        <w:rPr>
          <w:rFonts w:hint="eastAsia"/>
        </w:rPr>
        <w:t>#1</w:t>
      </w:r>
      <w:r>
        <w:rPr>
          <w:rFonts w:hint="eastAsia"/>
          <w:lang w:val="en-US" w:eastAsia="zh-CN"/>
        </w:rPr>
        <w:t>21</w:t>
      </w:r>
      <w:r>
        <w:rPr>
          <w:rFonts w:hint="eastAsia"/>
        </w:rPr>
        <w:t xml:space="preserve"> meeting</w:t>
      </w:r>
      <w:bookmarkEnd w:id="0"/>
      <w:r>
        <w:rPr>
          <w:rFonts w:hint="eastAsia"/>
        </w:rPr>
        <w:t xml:space="preserve">, </w:t>
      </w:r>
      <w:r>
        <w:rPr>
          <w:rFonts w:hint="eastAsia"/>
          <w:lang w:val="en-GB"/>
        </w:rPr>
        <w:t>following</w:t>
      </w:r>
      <w:r>
        <w:rPr>
          <w:rFonts w:hint="eastAsia"/>
        </w:rPr>
        <w:t xml:space="preserve"> </w:t>
      </w:r>
      <w:r>
        <w:rPr>
          <w:rFonts w:hint="eastAsia"/>
          <w:lang w:val="en-GB"/>
        </w:rPr>
        <w:t xml:space="preserve">agreements </w:t>
      </w:r>
      <w:r>
        <w:rPr>
          <w:rFonts w:hint="eastAsia"/>
        </w:rPr>
        <w:t xml:space="preserve">on </w:t>
      </w:r>
      <w:r>
        <w:rPr>
          <w:rFonts w:hint="eastAsia"/>
          <w:lang w:val="en-US" w:eastAsia="zh-CN"/>
        </w:rPr>
        <w:t>Q</w:t>
      </w:r>
      <w:r>
        <w:rPr>
          <w:rFonts w:hint="eastAsia"/>
          <w:lang w:val="en-GB" w:eastAsia="zh-CN"/>
        </w:rPr>
        <w:t>oE measurements</w:t>
      </w:r>
      <w:r>
        <w:rPr>
          <w:rFonts w:hint="eastAsia"/>
        </w:rPr>
        <w:t xml:space="preserve"> </w:t>
      </w:r>
      <w:r>
        <w:rPr>
          <w:rFonts w:hint="eastAsia"/>
          <w:lang w:val="en-GB"/>
        </w:rPr>
        <w:t>have been achieved:</w:t>
      </w:r>
    </w:p>
    <w:tbl>
      <w:tblPr>
        <w:tblStyle w:val="23"/>
        <w:tblW w:w="964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9" w:type="dxa"/>
          </w:tcPr>
          <w:p>
            <w:pPr>
              <w:numPr>
                <w:ilvl w:val="0"/>
                <w:numId w:val="9"/>
              </w:numPr>
              <w:tabs>
                <w:tab w:val="left" w:pos="0"/>
                <w:tab w:val="left" w:pos="1619"/>
              </w:tabs>
              <w:spacing w:after="40" w:line="276" w:lineRule="auto"/>
              <w:rPr>
                <w:lang w:val="en-GB" w:eastAsia="zh-CN"/>
              </w:rPr>
            </w:pPr>
            <w:r>
              <w:rPr>
                <w:rFonts w:hint="eastAsia" w:eastAsia="Times New Roman"/>
                <w:bCs/>
                <w:i/>
                <w:iCs/>
                <w:lang w:eastAsia="ja-JP"/>
              </w:rPr>
              <w:t>Introduce the QoS flows ID information in the RVQoE reporting from the UE.</w:t>
            </w:r>
          </w:p>
        </w:tc>
      </w:tr>
    </w:tbl>
    <w:p>
      <w:pPr>
        <w:spacing w:before="120" w:beforeLines="50" w:after="100"/>
        <w:jc w:val="both"/>
        <w:textAlignment w:val="center"/>
        <w:rPr>
          <w:sz w:val="22"/>
          <w:szCs w:val="22"/>
        </w:rPr>
      </w:pPr>
      <w:r>
        <w:rPr>
          <w:sz w:val="22"/>
          <w:szCs w:val="22"/>
        </w:rPr>
        <w:t xml:space="preserve">In this contribution, we will </w:t>
      </w:r>
      <w:r>
        <w:rPr>
          <w:i w:val="0"/>
          <w:iCs w:val="0"/>
          <w:sz w:val="22"/>
          <w:szCs w:val="22"/>
        </w:rPr>
        <w:t xml:space="preserve">discuss </w:t>
      </w:r>
      <w:r>
        <w:rPr>
          <w:rFonts w:eastAsia="宋体"/>
          <w:i w:val="0"/>
          <w:iCs w:val="0"/>
          <w:sz w:val="22"/>
          <w:szCs w:val="22"/>
        </w:rPr>
        <w:t>the remain</w:t>
      </w:r>
      <w:r>
        <w:rPr>
          <w:sz w:val="22"/>
          <w:szCs w:val="22"/>
        </w:rPr>
        <w:t>ing issues of</w:t>
      </w:r>
      <w:r>
        <w:rPr>
          <w:rFonts w:hint="eastAsia"/>
          <w:sz w:val="22"/>
          <w:szCs w:val="22"/>
          <w:lang w:val="en-US" w:eastAsia="zh-CN"/>
        </w:rPr>
        <w:t xml:space="preserve"> overload scenario enhancement and </w:t>
      </w:r>
      <w:r>
        <w:rPr>
          <w:sz w:val="22"/>
          <w:szCs w:val="22"/>
          <w:lang w:val="en-US" w:eastAsia="zh-CN"/>
        </w:rPr>
        <w:t>RA</w:t>
      </w:r>
      <w:r>
        <w:rPr>
          <w:bCs/>
          <w:i w:val="0"/>
          <w:iCs w:val="0"/>
          <w:lang w:val="en-US" w:eastAsia="zh-CN"/>
        </w:rPr>
        <w:t>N visible QoE</w:t>
      </w:r>
      <w:r>
        <w:rPr>
          <w:rFonts w:hint="eastAsia"/>
          <w:bCs/>
          <w:i w:val="0"/>
          <w:iCs w:val="0"/>
          <w:lang w:val="en-US" w:eastAsia="zh-CN"/>
        </w:rPr>
        <w:t xml:space="preserve"> enhancement</w:t>
      </w:r>
      <w:r>
        <w:rPr>
          <w:i w:val="0"/>
          <w:iCs w:val="0"/>
          <w:sz w:val="22"/>
          <w:szCs w:val="22"/>
        </w:rPr>
        <w:t>. Then we’ll give our proposal</w:t>
      </w:r>
      <w:r>
        <w:rPr>
          <w:rFonts w:eastAsia="宋体"/>
          <w:i w:val="0"/>
          <w:iCs w:val="0"/>
          <w:sz w:val="22"/>
          <w:szCs w:val="22"/>
        </w:rPr>
        <w:t>s</w:t>
      </w:r>
      <w:r>
        <w:rPr>
          <w:i w:val="0"/>
          <w:iCs w:val="0"/>
          <w:sz w:val="22"/>
          <w:szCs w:val="22"/>
        </w:rPr>
        <w:t>.</w:t>
      </w:r>
    </w:p>
    <w:p>
      <w:pPr>
        <w:pStyle w:val="2"/>
        <w:rPr>
          <w:rFonts w:cs="Arial"/>
          <w:b/>
          <w:lang w:val="en-US"/>
        </w:rPr>
      </w:pPr>
      <w:r>
        <w:rPr>
          <w:rFonts w:cs="Arial"/>
          <w:b/>
          <w:bCs/>
          <w:lang w:val="en-US"/>
        </w:rPr>
        <w:t xml:space="preserve">Discussion </w:t>
      </w:r>
    </w:p>
    <w:p>
      <w:pPr>
        <w:pStyle w:val="3"/>
        <w:spacing w:line="360" w:lineRule="auto"/>
        <w:rPr>
          <w:szCs w:val="21"/>
        </w:rPr>
      </w:pPr>
      <w:r>
        <w:rPr>
          <w:rStyle w:val="25"/>
          <w:rFonts w:hint="eastAsia" w:ascii="Arial" w:hAnsi="Arial" w:eastAsia="宋体" w:cs="Arial"/>
          <w:b/>
          <w:bCs/>
          <w:color w:val="auto"/>
          <w:lang w:val="en-US" w:eastAsia="zh-CN"/>
        </w:rPr>
        <w:t xml:space="preserve"> Overload scenario enhancement</w:t>
      </w:r>
    </w:p>
    <w:p>
      <w:pPr>
        <w:spacing w:after="120" w:afterLines="50"/>
        <w:jc w:val="both"/>
        <w:rPr>
          <w:rFonts w:hint="eastAsia" w:eastAsia="宋体"/>
          <w:lang w:val="en-US" w:eastAsia="zh-CN"/>
        </w:rPr>
      </w:pPr>
      <w:r>
        <w:rPr>
          <w:rFonts w:hint="eastAsia" w:eastAsia="宋体"/>
          <w:lang w:val="en-US" w:eastAsia="zh-CN"/>
        </w:rPr>
        <w:t xml:space="preserve">An LS [2] is sent from RAN3 to </w:t>
      </w:r>
      <w:r>
        <w:rPr>
          <w:rFonts w:hint="eastAsia" w:eastAsia="宋体"/>
          <w:lang w:val="en-US" w:eastAsia="ja-JP"/>
        </w:rPr>
        <w:t>RAN2</w:t>
      </w:r>
      <w:r>
        <w:rPr>
          <w:rFonts w:hint="eastAsia" w:eastAsia="宋体"/>
          <w:lang w:val="en-US" w:eastAsia="zh-CN"/>
        </w:rPr>
        <w:t xml:space="preserve"> as following</w:t>
      </w:r>
      <w:r>
        <w:rPr>
          <w:rFonts w:hint="eastAsia" w:eastAsia="宋体"/>
          <w:lang w:val="en-US" w:eastAsia="ja-JP"/>
        </w:rPr>
        <w:t xml:space="preserve"> </w:t>
      </w:r>
      <w:r>
        <w:rPr>
          <w:rFonts w:hint="eastAsia" w:eastAsia="宋体"/>
          <w:lang w:val="en-US" w:eastAsia="zh-CN"/>
        </w:rPr>
        <w:t>indicating that</w:t>
      </w:r>
      <w:r>
        <w:rPr>
          <w:rFonts w:hint="eastAsia" w:eastAsia="宋体"/>
          <w:lang w:val="en-US" w:eastAsia="ja-JP"/>
        </w:rPr>
        <w:t xml:space="preserve"> RAN3 has agreed </w:t>
      </w:r>
      <w:r>
        <w:rPr>
          <w:rFonts w:hint="eastAsia" w:eastAsia="宋体"/>
          <w:lang w:val="en-US" w:eastAsia="zh-CN"/>
        </w:rPr>
        <w:t xml:space="preserve">that </w:t>
      </w:r>
      <w:r>
        <w:rPr>
          <w:rFonts w:hint="eastAsia" w:eastAsia="宋体"/>
          <w:lang w:val="en-GB" w:eastAsia="en-US"/>
        </w:rPr>
        <w:t>there is no need to send assistance information to UE</w:t>
      </w:r>
      <w:r>
        <w:rPr>
          <w:rFonts w:hint="eastAsia" w:eastAsia="宋体"/>
          <w:lang w:val="en-US" w:eastAsia="zh-CN"/>
        </w:rPr>
        <w:t>.</w:t>
      </w:r>
      <w:r>
        <w:rPr>
          <w:rFonts w:hint="eastAsia" w:eastAsia="宋体"/>
          <w:lang w:val="en-GB" w:eastAsia="en-US"/>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等线"/>
                <w:sz w:val="36"/>
                <w:szCs w:val="20"/>
                <w:lang w:val="en-GB" w:eastAsia="en-GB"/>
              </w:rPr>
            </w:pPr>
            <w:r>
              <w:rPr>
                <w:rFonts w:ascii="Arial" w:hAnsi="Arial" w:eastAsia="等线"/>
                <w:sz w:val="36"/>
                <w:szCs w:val="20"/>
                <w:lang w:val="en-GB" w:eastAsia="en-GB"/>
              </w:rPr>
              <w:t>1</w:t>
            </w:r>
            <w:r>
              <w:rPr>
                <w:rFonts w:ascii="Arial" w:hAnsi="Arial" w:eastAsia="等线"/>
                <w:sz w:val="36"/>
                <w:szCs w:val="20"/>
                <w:lang w:val="en-GB" w:eastAsia="en-GB"/>
              </w:rPr>
              <w:tab/>
            </w:r>
            <w:r>
              <w:rPr>
                <w:rFonts w:ascii="Arial" w:hAnsi="Arial" w:eastAsia="等线"/>
                <w:sz w:val="36"/>
                <w:szCs w:val="20"/>
                <w:lang w:val="en-GB" w:eastAsia="en-GB"/>
              </w:rPr>
              <w:t>Overall description</w:t>
            </w:r>
          </w:p>
          <w:p>
            <w:pPr>
              <w:rPr>
                <w:rFonts w:ascii="Arial" w:hAnsi="Arial" w:eastAsia="等线" w:cs="Arial"/>
                <w:sz w:val="20"/>
                <w:szCs w:val="20"/>
                <w:lang w:val="en-GB" w:eastAsia="en-US"/>
              </w:rPr>
            </w:pPr>
            <w:r>
              <w:rPr>
                <w:rFonts w:ascii="Arial" w:hAnsi="Arial" w:eastAsia="等线" w:cs="Arial"/>
                <w:sz w:val="20"/>
                <w:szCs w:val="20"/>
                <w:lang w:val="en-GB" w:eastAsia="en-US"/>
              </w:rPr>
              <w:t xml:space="preserve">RAN3 discussed about the assistance information for handling of QoE reporting </w:t>
            </w:r>
            <w:r>
              <w:rPr>
                <w:rFonts w:hint="eastAsia" w:ascii="Arial" w:hAnsi="Arial" w:eastAsia="等线" w:cs="Arial"/>
                <w:sz w:val="20"/>
                <w:szCs w:val="20"/>
                <w:lang w:eastAsia="zh-CN"/>
              </w:rPr>
              <w:t>during</w:t>
            </w:r>
            <w:r>
              <w:rPr>
                <w:rFonts w:ascii="Arial" w:hAnsi="Arial" w:eastAsia="等线" w:cs="Arial"/>
                <w:sz w:val="20"/>
                <w:szCs w:val="20"/>
                <w:lang w:val="en-GB" w:eastAsia="en-US"/>
              </w:rPr>
              <w:t xml:space="preserve"> RAN overload. RAN3 noticed that the same issue is also under discussion in RAN2, and RAN3 would like to inform RAN2 about the following agreement:</w:t>
            </w:r>
          </w:p>
          <w:p>
            <w:pPr>
              <w:rPr>
                <w:rFonts w:ascii="Arial" w:hAnsi="Arial" w:eastAsia="等线" w:cs="Arial"/>
                <w:i/>
                <w:color w:val="000000"/>
                <w:sz w:val="20"/>
                <w:szCs w:val="20"/>
                <w:lang w:val="en-GB" w:eastAsia="en-US"/>
              </w:rPr>
            </w:pPr>
            <w:r>
              <w:rPr>
                <w:rFonts w:ascii="Arial" w:hAnsi="Arial" w:eastAsia="等线" w:cs="Arial"/>
                <w:i/>
                <w:color w:val="000000"/>
                <w:sz w:val="20"/>
                <w:szCs w:val="20"/>
                <w:lang w:val="en-GB" w:eastAsia="en-US"/>
              </w:rPr>
              <w:t>In case assistance information for handling of QoE reporting upon RAN overload is sent to the RAN, it is sent together with QoE measurement configuration. RAN3 to further discuss what the assistance information is. From RAN3 perspective, there is no need to send assistance information to UE.</w:t>
            </w:r>
          </w:p>
          <w:p>
            <w:pPr>
              <w:rPr>
                <w:rFonts w:ascii="Arial" w:hAnsi="Arial" w:eastAsia="等线" w:cs="Arial"/>
                <w:sz w:val="20"/>
                <w:szCs w:val="20"/>
                <w:lang w:val="en-GB" w:eastAsia="en-US"/>
              </w:rPr>
            </w:pP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等线"/>
                <w:sz w:val="36"/>
                <w:szCs w:val="20"/>
                <w:lang w:val="en-GB" w:eastAsia="en-GB"/>
              </w:rPr>
            </w:pPr>
            <w:r>
              <w:rPr>
                <w:rFonts w:ascii="Arial" w:hAnsi="Arial" w:eastAsia="等线"/>
                <w:sz w:val="36"/>
                <w:szCs w:val="20"/>
                <w:lang w:val="en-GB" w:eastAsia="en-GB"/>
              </w:rPr>
              <w:t>2</w:t>
            </w:r>
            <w:r>
              <w:rPr>
                <w:rFonts w:ascii="Arial" w:hAnsi="Arial" w:eastAsia="等线"/>
                <w:sz w:val="36"/>
                <w:szCs w:val="20"/>
                <w:lang w:val="en-GB" w:eastAsia="en-GB"/>
              </w:rPr>
              <w:tab/>
            </w:r>
            <w:r>
              <w:rPr>
                <w:rFonts w:ascii="Arial" w:hAnsi="Arial" w:eastAsia="等线"/>
                <w:sz w:val="36"/>
                <w:szCs w:val="20"/>
                <w:lang w:val="en-GB" w:eastAsia="en-GB"/>
              </w:rPr>
              <w:t>Actions</w:t>
            </w:r>
          </w:p>
          <w:p>
            <w:pPr>
              <w:overflowPunct w:val="0"/>
              <w:autoSpaceDE w:val="0"/>
              <w:autoSpaceDN w:val="0"/>
              <w:adjustRightInd w:val="0"/>
              <w:ind w:left="1985" w:hanging="1985"/>
              <w:textAlignment w:val="baseline"/>
              <w:rPr>
                <w:rFonts w:ascii="Arial" w:hAnsi="Arial" w:eastAsia="等线" w:cs="Arial"/>
                <w:b/>
                <w:sz w:val="20"/>
                <w:szCs w:val="20"/>
                <w:lang w:val="en-GB" w:eastAsia="en-GB"/>
              </w:rPr>
            </w:pPr>
            <w:r>
              <w:rPr>
                <w:rFonts w:ascii="Arial" w:hAnsi="Arial" w:eastAsia="等线" w:cs="Arial"/>
                <w:b/>
                <w:sz w:val="20"/>
                <w:szCs w:val="20"/>
                <w:lang w:val="en-GB" w:eastAsia="en-GB"/>
              </w:rPr>
              <w:t>To RAN2:</w:t>
            </w:r>
          </w:p>
          <w:p>
            <w:pPr>
              <w:overflowPunct w:val="0"/>
              <w:autoSpaceDE w:val="0"/>
              <w:autoSpaceDN w:val="0"/>
              <w:adjustRightInd w:val="0"/>
              <w:ind w:left="993" w:hanging="993"/>
              <w:textAlignment w:val="baseline"/>
              <w:rPr>
                <w:rFonts w:ascii="Arial" w:hAnsi="Arial" w:eastAsia="等线" w:cs="Arial"/>
                <w:b/>
                <w:sz w:val="20"/>
                <w:szCs w:val="20"/>
                <w:lang w:val="en-GB" w:eastAsia="en-GB"/>
              </w:rPr>
            </w:pPr>
            <w:r>
              <w:rPr>
                <w:rFonts w:ascii="Arial" w:hAnsi="Arial" w:eastAsia="等线" w:cs="Arial"/>
                <w:b/>
                <w:sz w:val="20"/>
                <w:szCs w:val="20"/>
                <w:lang w:val="en-GB" w:eastAsia="en-GB"/>
              </w:rPr>
              <w:t xml:space="preserve">ACTION: </w:t>
            </w:r>
            <w:r>
              <w:rPr>
                <w:rFonts w:ascii="Arial" w:hAnsi="Arial" w:eastAsia="等线" w:cs="Arial"/>
                <w:b/>
                <w:sz w:val="20"/>
                <w:szCs w:val="20"/>
                <w:lang w:val="en-GB" w:eastAsia="en-GB"/>
              </w:rPr>
              <w:tab/>
            </w:r>
            <w:r>
              <w:rPr>
                <w:rFonts w:ascii="Arial" w:hAnsi="Arial" w:eastAsia="等线" w:cs="Arial"/>
                <w:b/>
                <w:sz w:val="20"/>
                <w:szCs w:val="20"/>
                <w:lang w:val="en-GB" w:eastAsia="en-GB"/>
              </w:rPr>
              <w:t>RAN3 kindly asks RAN2 to take the above into account and provide feedback if necessary.</w:t>
            </w:r>
          </w:p>
          <w:p>
            <w:pPr>
              <w:overflowPunct/>
              <w:autoSpaceDE/>
              <w:autoSpaceDN/>
              <w:adjustRightInd/>
              <w:spacing w:before="120" w:after="0"/>
              <w:jc w:val="left"/>
              <w:textAlignment w:val="auto"/>
              <w:rPr>
                <w:rFonts w:hint="eastAsia"/>
                <w:color w:val="FF0000"/>
                <w:vertAlign w:val="baseline"/>
              </w:rPr>
            </w:pPr>
          </w:p>
        </w:tc>
      </w:tr>
    </w:tbl>
    <w:p>
      <w:pPr>
        <w:spacing w:after="120" w:afterLines="50"/>
        <w:jc w:val="both"/>
        <w:rPr>
          <w:rFonts w:hint="default" w:eastAsia="宋体"/>
          <w:lang w:val="en-US" w:eastAsia="zh-CN"/>
        </w:rPr>
      </w:pPr>
      <w:r>
        <w:t xml:space="preserve">According to the </w:t>
      </w:r>
      <w:r>
        <w:rPr>
          <w:rFonts w:hint="eastAsia" w:eastAsia="宋体"/>
          <w:lang w:val="en-US" w:eastAsia="zh-CN"/>
        </w:rPr>
        <w:t>above LS</w:t>
      </w:r>
      <w:r>
        <w:t xml:space="preserve">, </w:t>
      </w:r>
      <w:r>
        <w:rPr>
          <w:rFonts w:hint="eastAsia" w:eastAsia="宋体"/>
          <w:lang w:val="en-US" w:eastAsia="zh-CN"/>
        </w:rPr>
        <w:t xml:space="preserve"> RAN3 thinks </w:t>
      </w:r>
      <w:r>
        <w:rPr>
          <w:rFonts w:hint="eastAsia" w:eastAsia="宋体"/>
          <w:lang w:val="en-GB" w:eastAsia="en-US"/>
        </w:rPr>
        <w:t>there is no need to send assistance information to UE</w:t>
      </w:r>
      <w:r>
        <w:rPr>
          <w:rFonts w:hint="eastAsia" w:eastAsia="宋体"/>
          <w:lang w:val="en-US" w:eastAsia="zh-CN"/>
        </w:rPr>
        <w:t xml:space="preserve"> during RAN overload. </w:t>
      </w:r>
      <w:r>
        <w:rPr>
          <w:rFonts w:hint="eastAsia" w:eastAsia="宋体" w:cs="Times New Roman"/>
          <w:bCs/>
          <w:lang w:val="en-US" w:eastAsia="zh-CN"/>
        </w:rPr>
        <w:t xml:space="preserve">In our understanding, </w:t>
      </w:r>
      <w:r>
        <w:rPr>
          <w:rFonts w:hint="eastAsia" w:eastAsia="宋体"/>
          <w:lang w:val="en-US" w:eastAsia="zh-CN"/>
        </w:rPr>
        <w:t>i</w:t>
      </w:r>
      <w:r>
        <w:t xml:space="preserve">n Rel-17 the reporting of encapsulated QoE measurements can be temporarily paused in RAN overload situations. It is left to gNB implementation which encapsulated QoE configurations of a UE to pause for reporting. The RRC specification allows a selective pause, i.e. the gNB can pause reporting of one or multiple or all QoE configurations of a UE. </w:t>
      </w:r>
    </w:p>
    <w:p>
      <w:pPr>
        <w:spacing w:before="120" w:after="120" w:line="260" w:lineRule="auto"/>
        <w:jc w:val="both"/>
        <w:rPr>
          <w:rFonts w:hint="default" w:eastAsia="宋体"/>
          <w:bCs/>
          <w:lang w:val="en-US" w:eastAsia="zh-CN"/>
        </w:rPr>
      </w:pPr>
      <w:r>
        <w:rPr>
          <w:rFonts w:hint="eastAsia" w:eastAsia="宋体"/>
          <w:lang w:val="en-US" w:eastAsia="zh-CN"/>
        </w:rPr>
        <w:t xml:space="preserve">In addition, RAN2 discussed whether priority information needs to be sent to UE. We don't think there is a need for both NW-based and UE-based solutions. </w:t>
      </w:r>
      <w:r>
        <w:rPr>
          <w:rFonts w:hint="eastAsia" w:eastAsia="宋体"/>
          <w:bCs/>
          <w:lang w:val="en-US" w:eastAsia="zh-CN"/>
        </w:rPr>
        <w:t>And normally if something can be done by NW without significant burden then we don</w:t>
      </w:r>
      <w:r>
        <w:rPr>
          <w:rFonts w:eastAsia="宋体"/>
          <w:bCs/>
          <w:lang w:val="en-US" w:eastAsia="zh-CN"/>
        </w:rPr>
        <w:t>’</w:t>
      </w:r>
      <w:r>
        <w:rPr>
          <w:rFonts w:hint="eastAsia" w:eastAsia="宋体"/>
          <w:bCs/>
          <w:lang w:val="en-US" w:eastAsia="zh-CN"/>
        </w:rPr>
        <w:t>t introduce UE based solution since the resource in air interface is more limited. Therefore, we think RAN2 can support the RAN3</w:t>
      </w:r>
      <w:r>
        <w:rPr>
          <w:rFonts w:eastAsia="宋体"/>
          <w:bCs/>
          <w:lang w:val="en-US" w:eastAsia="zh-CN"/>
        </w:rPr>
        <w:t>’</w:t>
      </w:r>
      <w:r>
        <w:rPr>
          <w:rFonts w:hint="eastAsia" w:eastAsia="宋体"/>
          <w:bCs/>
          <w:lang w:val="en-US" w:eastAsia="zh-CN"/>
        </w:rPr>
        <w:t>s conclusion on this topic.</w:t>
      </w:r>
    </w:p>
    <w:p>
      <w:pPr>
        <w:spacing w:before="120" w:after="120" w:line="260" w:lineRule="auto"/>
        <w:jc w:val="both"/>
        <w:rPr>
          <w:rFonts w:hint="default" w:eastAsia="宋体"/>
          <w:lang w:val="en-US" w:eastAsia="zh-CN"/>
        </w:rPr>
      </w:pPr>
      <w:r>
        <w:rPr>
          <w:b/>
          <w:bCs/>
        </w:rPr>
        <w:t>Proposa</w:t>
      </w:r>
      <w:r>
        <w:rPr>
          <w:rFonts w:hint="eastAsia"/>
          <w:b/>
          <w:bCs/>
          <w:lang w:val="en-US" w:eastAsia="zh-CN"/>
        </w:rPr>
        <w:t>l 1</w:t>
      </w:r>
      <w:r>
        <w:rPr>
          <w:b/>
          <w:bCs/>
        </w:rPr>
        <w:t>:</w:t>
      </w:r>
      <w:r>
        <w:rPr>
          <w:rFonts w:hint="eastAsia" w:eastAsia="宋体"/>
          <w:b/>
          <w:bCs/>
          <w:lang w:val="en-US" w:eastAsia="zh-CN"/>
        </w:rPr>
        <w:t xml:space="preserve"> RAN2 doesn</w:t>
      </w:r>
      <w:r>
        <w:rPr>
          <w:rFonts w:hint="default" w:eastAsia="宋体"/>
          <w:b/>
          <w:bCs/>
          <w:lang w:val="en-US" w:eastAsia="zh-CN"/>
        </w:rPr>
        <w:t>’</w:t>
      </w:r>
      <w:r>
        <w:rPr>
          <w:rFonts w:hint="eastAsia" w:eastAsia="宋体"/>
          <w:b/>
          <w:bCs/>
          <w:lang w:val="en-US" w:eastAsia="zh-CN"/>
        </w:rPr>
        <w:t xml:space="preserve">t discuss further enhancements (i.e. UE-based solution other than pause/resume) to deal with RAN overload. </w:t>
      </w:r>
    </w:p>
    <w:p>
      <w:pPr>
        <w:pStyle w:val="3"/>
        <w:spacing w:line="360" w:lineRule="auto"/>
      </w:pPr>
      <w:bookmarkStart w:id="1" w:name="OLE_LINK2"/>
      <w:r>
        <w:rPr>
          <w:rStyle w:val="25"/>
          <w:rFonts w:hint="eastAsia" w:ascii="Arial" w:hAnsi="Arial" w:eastAsia="宋体" w:cs="Arial"/>
          <w:b/>
          <w:bCs/>
          <w:color w:val="auto"/>
          <w:lang w:val="en-US" w:eastAsia="zh-CN"/>
        </w:rPr>
        <w:t>RV</w:t>
      </w:r>
      <w:r>
        <w:rPr>
          <w:rStyle w:val="25"/>
          <w:rFonts w:ascii="Arial" w:hAnsi="Arial" w:eastAsia="宋体" w:cs="Arial"/>
          <w:b/>
          <w:bCs/>
          <w:color w:val="auto"/>
          <w:lang w:eastAsia="zh-CN"/>
        </w:rPr>
        <w:t xml:space="preserve">QoE </w:t>
      </w:r>
      <w:r>
        <w:rPr>
          <w:rStyle w:val="25"/>
          <w:rFonts w:ascii="Arial" w:hAnsi="Arial" w:eastAsia="宋体" w:cs="Arial"/>
          <w:b/>
          <w:bCs/>
          <w:color w:val="auto"/>
          <w:lang w:val="en-US" w:eastAsia="zh-CN"/>
        </w:rPr>
        <w:t>enhancements</w:t>
      </w:r>
    </w:p>
    <w:bookmarkEnd w:id="1"/>
    <w:p>
      <w:pPr>
        <w:spacing w:after="120" w:afterLines="50"/>
        <w:jc w:val="both"/>
        <w:rPr>
          <w:rFonts w:hint="eastAsia" w:eastAsia="宋体"/>
          <w:lang w:val="en-US" w:eastAsia="zh-CN"/>
        </w:rPr>
      </w:pPr>
      <w:bookmarkStart w:id="2" w:name="_Hlk83889356"/>
      <w:bookmarkStart w:id="3" w:name="_Hlk83889312"/>
      <w:r>
        <w:rPr>
          <w:rFonts w:hint="eastAsia" w:eastAsia="宋体"/>
          <w:lang w:val="en-US" w:eastAsia="zh-CN"/>
        </w:rPr>
        <w:t xml:space="preserve">An LS [3] is sent from SA4 to </w:t>
      </w:r>
      <w:r>
        <w:rPr>
          <w:rFonts w:hint="eastAsia" w:eastAsia="宋体"/>
          <w:lang w:val="en-US" w:eastAsia="ja-JP"/>
        </w:rPr>
        <w:t>RAN2</w:t>
      </w:r>
      <w:r>
        <w:rPr>
          <w:rFonts w:hint="eastAsia" w:eastAsia="宋体"/>
          <w:lang w:val="en-US" w:eastAsia="zh-CN"/>
        </w:rPr>
        <w:t xml:space="preserve"> as following</w:t>
      </w:r>
      <w:r>
        <w:rPr>
          <w:rFonts w:hint="eastAsia" w:eastAsia="宋体"/>
          <w:lang w:val="en-US" w:eastAsia="ja-JP"/>
        </w:rPr>
        <w:t xml:space="preserve"> </w:t>
      </w:r>
      <w:r>
        <w:rPr>
          <w:rFonts w:hint="eastAsia" w:eastAsia="宋体"/>
          <w:lang w:val="en-US" w:eastAsia="zh-CN"/>
        </w:rPr>
        <w:t>indicating that</w:t>
      </w:r>
      <w:r>
        <w:rPr>
          <w:rFonts w:hint="eastAsia" w:eastAsia="宋体"/>
          <w:lang w:val="en-US" w:eastAsia="ja-JP"/>
        </w:rPr>
        <w:t xml:space="preserve"> </w:t>
      </w:r>
      <w:r>
        <w:rPr>
          <w:lang w:eastAsia="zh-CN"/>
        </w:rPr>
        <w:t xml:space="preserve">application layer triggering of buffer level threshold-based RVQoE reporting can be supported in Rel-18 based on the corresponding </w:t>
      </w:r>
      <w:r>
        <w:t>QoE configuration received from the AS layer</w:t>
      </w:r>
      <w:r>
        <w:rPr>
          <w:rFonts w:hint="eastAsia" w:eastAsia="宋体"/>
          <w:lang w:val="en-US" w:eastAsia="ja-JP"/>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2"/>
              <w:numPr>
                <w:ilvl w:val="0"/>
                <w:numId w:val="0"/>
              </w:numPr>
              <w:ind w:leftChars="0"/>
            </w:pPr>
            <w:bookmarkStart w:id="4" w:name="_Hlk109550030"/>
            <w:r>
              <w:t>1</w:t>
            </w:r>
            <w:r>
              <w:tab/>
            </w:r>
            <w:r>
              <w:t>Overall description</w:t>
            </w:r>
          </w:p>
          <w:bookmarkEnd w:id="4"/>
          <w:p>
            <w:pPr>
              <w:rPr>
                <w:lang w:eastAsia="zh-CN"/>
              </w:rPr>
            </w:pPr>
            <w:r>
              <w:rPr>
                <w:lang w:eastAsia="zh-CN"/>
              </w:rPr>
              <w:t>SA4 thanks RAN2 on their LS on buffer level threshold-based RVQoE reporting. Given that</w:t>
            </w:r>
          </w:p>
          <w:p>
            <w:pPr>
              <w:pStyle w:val="45"/>
              <w:numPr>
                <w:ilvl w:val="0"/>
                <w:numId w:val="10"/>
              </w:numPr>
              <w:ind w:firstLineChars="0"/>
              <w:contextualSpacing/>
              <w:rPr>
                <w:iCs/>
              </w:rPr>
            </w:pPr>
            <w:r>
              <w:rPr>
                <w:iCs/>
              </w:rPr>
              <w:t xml:space="preserve">There already exists mechanism </w:t>
            </w:r>
            <w:r>
              <w:rPr>
                <w:rFonts w:hint="eastAsia"/>
                <w:iCs/>
                <w:lang w:eastAsia="zh-CN"/>
              </w:rPr>
              <w:t>before</w:t>
            </w:r>
            <w:r>
              <w:rPr>
                <w:iCs/>
              </w:rPr>
              <w:t xml:space="preserve"> Rel-18 for application layer to be configured for QoE reporting, and that this mechanism can be reused by the application layer to do RVQoE reporting based on the trigger of the buffer level threshold, and</w:t>
            </w:r>
          </w:p>
          <w:p>
            <w:pPr>
              <w:pStyle w:val="45"/>
              <w:numPr>
                <w:ilvl w:val="0"/>
                <w:numId w:val="10"/>
              </w:numPr>
              <w:ind w:firstLineChars="0"/>
              <w:contextualSpacing/>
              <w:rPr>
                <w:iCs/>
              </w:rPr>
            </w:pPr>
            <w:r>
              <w:rPr>
                <w:iCs/>
              </w:rPr>
              <w:t xml:space="preserve">The application layer can make a buffer-threshold based decision in a more timely fashion compared to the AS </w:t>
            </w:r>
            <w:r>
              <w:rPr>
                <w:rFonts w:hint="eastAsia"/>
                <w:iCs/>
                <w:lang w:eastAsia="zh-CN"/>
              </w:rPr>
              <w:t>layer</w:t>
            </w:r>
            <w:r>
              <w:rPr>
                <w:iCs/>
              </w:rPr>
              <w:t xml:space="preserve">, since </w:t>
            </w:r>
            <w:r>
              <w:t>the corresponding application layer reporting, based strictly on reporting periodicity, may be unable to submit QoE reports at the exact time that buffer level threshold is reached. As result, and depending on the reporting periodicity, the delay between a threshold occurrence and the next scheduled QoE report may precluding a more timely remedial response by the gNB</w:t>
            </w:r>
            <w:r>
              <w:rPr>
                <w:iCs/>
              </w:rPr>
              <w:t>.</w:t>
            </w:r>
          </w:p>
          <w:p>
            <w:pPr>
              <w:ind w:left="360"/>
              <w:contextualSpacing/>
              <w:rPr>
                <w:iCs/>
              </w:rPr>
            </w:pPr>
          </w:p>
          <w:p>
            <w:pPr>
              <w:rPr>
                <w:lang w:eastAsia="zh-CN"/>
              </w:rPr>
            </w:pPr>
            <w:r>
              <w:rPr>
                <w:lang w:eastAsia="zh-CN"/>
              </w:rPr>
              <w:t xml:space="preserve">Hence SA4 can confirm RAN2 preference that application layer triggering of buffer level threshold-based RVQoE reporting can be supported in Rel-18 based on the corresponding </w:t>
            </w:r>
            <w:r>
              <w:t>QoE configuration received from the AS layer</w:t>
            </w:r>
            <w:r>
              <w:rPr>
                <w:lang w:eastAsia="zh-CN"/>
              </w:rPr>
              <w:t>.</w:t>
            </w:r>
          </w:p>
          <w:p>
            <w:pPr>
              <w:pStyle w:val="2"/>
              <w:numPr>
                <w:ilvl w:val="0"/>
                <w:numId w:val="0"/>
              </w:numPr>
              <w:ind w:leftChars="0"/>
            </w:pPr>
            <w:r>
              <w:t>2</w:t>
            </w:r>
            <w:r>
              <w:tab/>
            </w:r>
            <w:r>
              <w:t>Actions</w:t>
            </w:r>
          </w:p>
          <w:p>
            <w:pPr>
              <w:keepNext/>
              <w:spacing w:after="120"/>
              <w:ind w:left="1985" w:hanging="1985"/>
              <w:rPr>
                <w:rFonts w:ascii="Arial" w:hAnsi="Arial" w:cs="Arial"/>
                <w:b/>
              </w:rPr>
            </w:pPr>
            <w:r>
              <w:rPr>
                <w:rFonts w:ascii="Arial" w:hAnsi="Arial" w:cs="Arial"/>
                <w:b/>
              </w:rPr>
              <w:t>To RAN2</w:t>
            </w:r>
          </w:p>
          <w:p>
            <w:pPr>
              <w:keepNext/>
              <w:ind w:left="994" w:hanging="994"/>
            </w:pPr>
            <w:r>
              <w:rPr>
                <w:rFonts w:ascii="Arial" w:hAnsi="Arial" w:cs="Arial"/>
                <w:b/>
              </w:rPr>
              <w:t>ACTION:</w:t>
            </w:r>
            <w:r>
              <w:t xml:space="preserve"> </w:t>
            </w:r>
            <w:r>
              <w:tab/>
            </w:r>
            <w:r>
              <w:t xml:space="preserve">SA4 kindly requests RAN2 to take the above reply into account and to keep SA4 updated on further details of work on </w:t>
            </w:r>
            <w:r>
              <w:rPr>
                <w:lang w:eastAsia="zh-CN"/>
              </w:rPr>
              <w:t>buffer level threshold-based RVQoE reporting</w:t>
            </w:r>
            <w:r>
              <w:t>.</w:t>
            </w:r>
          </w:p>
          <w:p>
            <w:pPr>
              <w:overflowPunct/>
              <w:autoSpaceDE/>
              <w:autoSpaceDN/>
              <w:adjustRightInd/>
              <w:spacing w:before="120" w:after="0"/>
              <w:jc w:val="left"/>
              <w:textAlignment w:val="auto"/>
              <w:rPr>
                <w:rFonts w:hint="eastAsia"/>
                <w:color w:val="FF0000"/>
                <w:vertAlign w:val="baseline"/>
              </w:rPr>
            </w:pPr>
          </w:p>
        </w:tc>
      </w:tr>
    </w:tbl>
    <w:p>
      <w:pPr>
        <w:spacing w:after="120" w:afterLines="50"/>
        <w:jc w:val="both"/>
        <w:rPr>
          <w:rFonts w:hint="eastAsia" w:cs="Times New Roman"/>
          <w:bCs/>
          <w:lang w:val="en-US" w:eastAsia="zh-CN"/>
        </w:rPr>
      </w:pPr>
    </w:p>
    <w:p>
      <w:pPr>
        <w:spacing w:after="0" w:afterLines="-2147483648"/>
        <w:jc w:val="left"/>
        <w:rPr>
          <w:rFonts w:hint="default" w:eastAsia="等线"/>
          <w:sz w:val="22"/>
          <w:lang w:val="en-US" w:eastAsia="zh-CN"/>
        </w:rPr>
      </w:pPr>
      <w:r>
        <w:rPr>
          <w:rFonts w:hint="eastAsia" w:eastAsia="宋体"/>
          <w:color w:val="auto"/>
          <w:lang w:val="en-US" w:eastAsia="zh-CN"/>
        </w:rPr>
        <w:t>Based on the above LS,</w:t>
      </w:r>
      <w:r>
        <w:rPr>
          <w:rFonts w:hint="eastAsia" w:cs="Times New Roman"/>
          <w:bCs/>
          <w:lang w:val="en-US" w:eastAsia="zh-CN"/>
        </w:rPr>
        <w:t xml:space="preserve"> </w:t>
      </w:r>
      <w:r>
        <w:rPr>
          <w:rFonts w:hint="eastAsia" w:eastAsia="宋体"/>
          <w:iCs/>
          <w:lang w:val="en-US" w:eastAsia="zh-CN"/>
        </w:rPr>
        <w:t>t</w:t>
      </w:r>
      <w:r>
        <w:rPr>
          <w:iCs/>
        </w:rPr>
        <w:t xml:space="preserve">he application layer can make a buffer-threshold based decision in a more timely fashion compared to the AS </w:t>
      </w:r>
      <w:r>
        <w:rPr>
          <w:rFonts w:hint="eastAsia"/>
          <w:iCs/>
          <w:lang w:eastAsia="zh-CN"/>
        </w:rPr>
        <w:t>layer</w:t>
      </w:r>
      <w:r>
        <w:rPr>
          <w:rFonts w:hint="eastAsia"/>
          <w:iCs/>
          <w:lang w:val="en-US" w:eastAsia="zh-CN"/>
        </w:rPr>
        <w:t xml:space="preserve">. </w:t>
      </w:r>
      <w:r>
        <w:rPr>
          <w:rFonts w:hint="eastAsia" w:eastAsia="等线"/>
          <w:sz w:val="22"/>
          <w:lang w:val="en-GB"/>
        </w:rPr>
        <w:t xml:space="preserve">we </w:t>
      </w:r>
      <w:r>
        <w:rPr>
          <w:rFonts w:hint="eastAsia" w:eastAsia="等线"/>
          <w:sz w:val="22"/>
          <w:lang w:val="en-US" w:eastAsia="zh-CN"/>
        </w:rPr>
        <w:t xml:space="preserve">also </w:t>
      </w:r>
      <w:r>
        <w:rPr>
          <w:rFonts w:hint="eastAsia" w:eastAsia="等线"/>
          <w:sz w:val="22"/>
          <w:lang w:val="en-GB"/>
        </w:rPr>
        <w:t xml:space="preserve">think it is better to choose app layer. </w:t>
      </w:r>
      <w:r>
        <w:rPr>
          <w:rFonts w:eastAsia="等线"/>
          <w:sz w:val="22"/>
          <w:lang w:val="en-GB"/>
        </w:rPr>
        <w:t>Because</w:t>
      </w:r>
      <w:r>
        <w:rPr>
          <w:rFonts w:hint="eastAsia" w:eastAsia="等线"/>
          <w:sz w:val="22"/>
          <w:lang w:val="en-GB"/>
        </w:rPr>
        <w:t xml:space="preserve"> the measurement for buffer level is performed in </w:t>
      </w:r>
      <w:r>
        <w:rPr>
          <w:lang w:eastAsia="zh-CN"/>
        </w:rPr>
        <w:t>application</w:t>
      </w:r>
      <w:r>
        <w:rPr>
          <w:rFonts w:hint="eastAsia" w:eastAsia="等线"/>
          <w:sz w:val="22"/>
          <w:lang w:val="en-GB"/>
        </w:rPr>
        <w:t xml:space="preserve"> layer and the </w:t>
      </w:r>
      <w:r>
        <w:rPr>
          <w:lang w:eastAsia="zh-CN"/>
        </w:rPr>
        <w:t>application</w:t>
      </w:r>
      <w:r>
        <w:rPr>
          <w:rFonts w:hint="eastAsia" w:eastAsia="等线"/>
          <w:sz w:val="22"/>
          <w:lang w:val="en-GB"/>
        </w:rPr>
        <w:t xml:space="preserve"> layer can </w:t>
      </w:r>
      <w:r>
        <w:rPr>
          <w:rFonts w:eastAsia="等线"/>
          <w:sz w:val="22"/>
          <w:lang w:val="en-GB"/>
        </w:rPr>
        <w:t>evaluate</w:t>
      </w:r>
      <w:r>
        <w:rPr>
          <w:rFonts w:hint="eastAsia" w:eastAsia="等线"/>
          <w:sz w:val="22"/>
          <w:lang w:val="en-GB"/>
        </w:rPr>
        <w:t xml:space="preserve"> the buffer level directly. </w:t>
      </w:r>
      <w:r>
        <w:rPr>
          <w:rFonts w:hint="eastAsia" w:eastAsia="等线"/>
          <w:sz w:val="22"/>
          <w:lang w:val="en-US" w:eastAsia="zh-CN"/>
        </w:rPr>
        <w:t xml:space="preserve">Therefore, we think the application layer can make a buffer-threshold based decision </w:t>
      </w:r>
      <w:r>
        <w:rPr>
          <w:rFonts w:hint="eastAsia" w:eastAsia="等线"/>
          <w:sz w:val="22"/>
          <w:lang w:val="en-GB" w:eastAsia="zh-CN"/>
        </w:rPr>
        <w:t xml:space="preserve">to align with </w:t>
      </w:r>
      <w:r>
        <w:rPr>
          <w:rFonts w:hint="eastAsia" w:eastAsia="等线"/>
          <w:sz w:val="22"/>
          <w:lang w:val="en-US" w:eastAsia="zh-CN"/>
        </w:rPr>
        <w:t>SA4</w:t>
      </w:r>
      <w:r>
        <w:rPr>
          <w:rFonts w:hint="default" w:eastAsia="等线"/>
          <w:sz w:val="22"/>
          <w:lang w:val="en-US" w:eastAsia="zh-CN"/>
        </w:rPr>
        <w:t>’</w:t>
      </w:r>
      <w:r>
        <w:rPr>
          <w:rFonts w:hint="eastAsia" w:eastAsia="等线"/>
          <w:sz w:val="22"/>
          <w:lang w:val="en-GB" w:eastAsia="zh-CN"/>
        </w:rPr>
        <w:t xml:space="preserve">s </w:t>
      </w:r>
      <w:r>
        <w:rPr>
          <w:rFonts w:hint="eastAsia" w:eastAsia="等线"/>
          <w:sz w:val="22"/>
          <w:lang w:val="en-US" w:eastAsia="zh-CN"/>
        </w:rPr>
        <w:t>conclusion.</w:t>
      </w:r>
    </w:p>
    <w:p>
      <w:pPr>
        <w:spacing w:after="120" w:afterLines="50"/>
        <w:jc w:val="both"/>
        <w:rPr>
          <w:rFonts w:hint="eastAsia"/>
          <w:iCs/>
          <w:lang w:val="en-CA"/>
        </w:rPr>
      </w:pPr>
      <w:r>
        <w:rPr>
          <w:rFonts w:hint="eastAsia"/>
          <w:b/>
          <w:bCs/>
          <w:strike w:val="0"/>
          <w:dstrike w:val="0"/>
          <w:lang w:val="en-US" w:eastAsia="zh-CN"/>
        </w:rPr>
        <w:t>Proposal 2: Confirms that buffer level threshold-based triggering of RVQoE reporting is triggered by  application layer.</w:t>
      </w:r>
    </w:p>
    <w:p>
      <w:pPr>
        <w:spacing w:after="120" w:afterLines="50"/>
        <w:jc w:val="both"/>
        <w:rPr>
          <w:rFonts w:hint="eastAsia" w:eastAsia="宋体"/>
          <w:bCs/>
          <w:lang w:val="en-US" w:eastAsia="zh-CN"/>
        </w:rPr>
      </w:pPr>
      <w:r>
        <w:rPr>
          <w:rFonts w:hint="eastAsia" w:eastAsia="等线"/>
          <w:sz w:val="22"/>
          <w:lang w:val="en-US" w:eastAsia="zh-CN"/>
        </w:rPr>
        <w:t xml:space="preserve">In addition, </w:t>
      </w:r>
      <w:r>
        <w:rPr>
          <w:rFonts w:hint="eastAsia"/>
          <w:lang w:val="en-US" w:eastAsia="zh-CN"/>
        </w:rPr>
        <w:t>a</w:t>
      </w:r>
      <w:r>
        <w:rPr>
          <w:lang w:val="en-GB" w:eastAsia="zh-CN"/>
        </w:rPr>
        <w:t xml:space="preserve">nother issue that needs to be </w:t>
      </w:r>
      <w:r>
        <w:rPr>
          <w:rFonts w:hint="eastAsia"/>
          <w:lang w:val="en-US" w:eastAsia="zh-CN"/>
        </w:rPr>
        <w:t xml:space="preserve">discussed </w:t>
      </w:r>
      <w:r>
        <w:rPr>
          <w:lang w:val="en-GB" w:eastAsia="zh-CN"/>
        </w:rPr>
        <w:t xml:space="preserve">is </w:t>
      </w:r>
      <w:r>
        <w:rPr>
          <w:rFonts w:hint="eastAsia"/>
          <w:lang w:val="en-US" w:eastAsia="zh-CN"/>
        </w:rPr>
        <w:t xml:space="preserve">the details of buffer level thresholds events. For example </w:t>
      </w:r>
      <w:r>
        <w:rPr>
          <w:rFonts w:hint="eastAsia"/>
          <w:lang w:val="en-GB" w:eastAsia="zh-CN"/>
        </w:rPr>
        <w:t>whether threshold-based buffer level reporting starts: i</w:t>
      </w:r>
      <w:r>
        <w:rPr>
          <w:rFonts w:hint="eastAsia"/>
          <w:lang w:val="en-US" w:eastAsia="zh-CN"/>
        </w:rPr>
        <w:t xml:space="preserve">) </w:t>
      </w:r>
      <w:r>
        <w:rPr>
          <w:rFonts w:hint="eastAsia"/>
          <w:lang w:val="en-GB" w:eastAsia="zh-CN"/>
        </w:rPr>
        <w:t>when buffer level is greater than a threshold or ii</w:t>
      </w:r>
      <w:r>
        <w:rPr>
          <w:rFonts w:hint="eastAsia"/>
          <w:lang w:val="en-US" w:eastAsia="zh-CN"/>
        </w:rPr>
        <w:t xml:space="preserve">) </w:t>
      </w:r>
      <w:r>
        <w:rPr>
          <w:rFonts w:hint="eastAsia"/>
          <w:lang w:val="en-GB" w:eastAsia="zh-CN"/>
        </w:rPr>
        <w:t>when buffer level is below a threshold or iii</w:t>
      </w:r>
      <w:r>
        <w:rPr>
          <w:rFonts w:hint="eastAsia"/>
          <w:lang w:val="en-US" w:eastAsia="zh-CN"/>
        </w:rPr>
        <w:t>)</w:t>
      </w:r>
      <w:r>
        <w:rPr>
          <w:rFonts w:hint="eastAsia"/>
          <w:lang w:val="en-GB" w:eastAsia="zh-CN"/>
        </w:rPr>
        <w:t xml:space="preserve"> when buffer level is between two threshol</w:t>
      </w:r>
      <w:r>
        <w:rPr>
          <w:rFonts w:hint="eastAsia"/>
          <w:lang w:val="en-US" w:eastAsia="zh-CN"/>
        </w:rPr>
        <w:t xml:space="preserve">s. Also RAN3 has already started the discussion taking into account the LS last meeting, and has identified some candidate solutions on the details of measurement procedure, e.g., how to check the entering/leaving condition of events configured (e.g., periodicall，one-shot or others) and how to perform the measurements (periodically, event-periodically).  RAN2 can leave the discussion to RAN3 to avoid duplicated discussion </w:t>
      </w:r>
      <w:r>
        <w:rPr>
          <w:rFonts w:hint="eastAsia" w:eastAsia="宋体"/>
          <w:bCs/>
          <w:lang w:val="en-US" w:eastAsia="zh-CN"/>
        </w:rPr>
        <w:t>on this topic.</w:t>
      </w:r>
    </w:p>
    <w:p>
      <w:pPr>
        <w:spacing w:before="120" w:after="120" w:line="260" w:lineRule="auto"/>
        <w:jc w:val="both"/>
        <w:rPr>
          <w:rFonts w:hint="default" w:eastAsia="宋体"/>
          <w:b/>
          <w:bCs/>
          <w:lang w:val="en-US" w:eastAsia="zh-CN"/>
        </w:rPr>
      </w:pPr>
      <w:r>
        <w:rPr>
          <w:b/>
          <w:bCs/>
        </w:rPr>
        <w:t>Proposa</w:t>
      </w:r>
      <w:r>
        <w:rPr>
          <w:rFonts w:hint="eastAsia"/>
          <w:b/>
          <w:bCs/>
          <w:lang w:val="en-US" w:eastAsia="zh-CN"/>
        </w:rPr>
        <w:t>l 3</w:t>
      </w:r>
      <w:r>
        <w:rPr>
          <w:b/>
          <w:bCs/>
        </w:rPr>
        <w:t>:</w:t>
      </w:r>
      <w:r>
        <w:rPr>
          <w:rFonts w:hint="eastAsia" w:eastAsia="宋体"/>
          <w:b/>
          <w:bCs/>
          <w:lang w:val="en-US" w:eastAsia="zh-CN"/>
        </w:rPr>
        <w:t xml:space="preserve"> RAN2 waits for RA</w:t>
      </w:r>
      <w:r>
        <w:rPr>
          <w:rFonts w:hint="eastAsia"/>
          <w:b/>
          <w:bCs/>
          <w:strike w:val="0"/>
          <w:dstrike w:val="0"/>
          <w:lang w:val="en-US" w:eastAsia="zh-CN"/>
        </w:rPr>
        <w:t xml:space="preserve">N3’s conclusion </w:t>
      </w:r>
      <w:r>
        <w:rPr>
          <w:rFonts w:hint="eastAsia" w:eastAsia="宋体"/>
          <w:b/>
          <w:bCs/>
          <w:lang w:val="en-US" w:eastAsia="zh-CN"/>
        </w:rPr>
        <w:t xml:space="preserve">on the </w:t>
      </w:r>
      <w:r>
        <w:rPr>
          <w:rFonts w:hint="eastAsia" w:eastAsia="宋体"/>
          <w:b/>
          <w:bCs/>
          <w:lang w:val="en-GB" w:eastAsia="zh-CN"/>
        </w:rPr>
        <w:t>buffer</w:t>
      </w:r>
      <w:r>
        <w:rPr>
          <w:rFonts w:hint="eastAsia" w:eastAsia="宋体"/>
          <w:b/>
          <w:bCs/>
          <w:lang w:val="en-US" w:eastAsia="zh-CN"/>
        </w:rPr>
        <w:t xml:space="preserve"> level</w:t>
      </w:r>
      <w:r>
        <w:rPr>
          <w:rFonts w:hint="eastAsia" w:eastAsia="宋体"/>
          <w:b/>
          <w:bCs/>
          <w:lang w:val="en-GB" w:eastAsia="zh-CN"/>
        </w:rPr>
        <w:t xml:space="preserve"> threshold</w:t>
      </w:r>
      <w:r>
        <w:rPr>
          <w:rFonts w:hint="eastAsia" w:eastAsia="宋体"/>
          <w:b/>
          <w:bCs/>
          <w:lang w:val="en-US" w:eastAsia="zh-CN"/>
        </w:rPr>
        <w:t>-based RVQoE reporting.</w:t>
      </w:r>
    </w:p>
    <w:p>
      <w:pPr>
        <w:overflowPunct w:val="0"/>
        <w:autoSpaceDE w:val="0"/>
        <w:autoSpaceDN w:val="0"/>
        <w:adjustRightInd w:val="0"/>
        <w:spacing w:after="120" w:line="288" w:lineRule="auto"/>
        <w:jc w:val="both"/>
        <w:textAlignment w:val="baseline"/>
        <w:rPr>
          <w:rFonts w:eastAsia="等线"/>
          <w:sz w:val="22"/>
          <w:lang w:val="en-GB"/>
        </w:rPr>
      </w:pPr>
      <w:r>
        <w:rPr>
          <w:rFonts w:hint="eastAsia" w:eastAsia="等线"/>
          <w:sz w:val="22"/>
          <w:lang w:val="en-US" w:eastAsia="zh-CN"/>
        </w:rPr>
        <w:t>For</w:t>
      </w:r>
      <w:r>
        <w:rPr>
          <w:rFonts w:hint="eastAsia" w:eastAsia="等线"/>
          <w:sz w:val="22"/>
          <w:lang w:val="en-GB"/>
        </w:rPr>
        <w:t xml:space="preserve"> </w:t>
      </w:r>
      <w:r>
        <w:rPr>
          <w:rFonts w:hint="eastAsia" w:eastAsia="等线"/>
          <w:sz w:val="22"/>
          <w:lang w:val="en-US" w:eastAsia="zh-CN"/>
        </w:rPr>
        <w:t xml:space="preserve">the </w:t>
      </w:r>
      <w:r>
        <w:rPr>
          <w:rFonts w:hint="eastAsia" w:eastAsia="等线"/>
          <w:sz w:val="22"/>
          <w:lang w:val="en-GB"/>
        </w:rPr>
        <w:t>configur</w:t>
      </w:r>
      <w:r>
        <w:rPr>
          <w:rFonts w:hint="eastAsia" w:eastAsia="等线"/>
          <w:sz w:val="22"/>
          <w:lang w:val="en-US" w:eastAsia="zh-CN"/>
        </w:rPr>
        <w:t>ation</w:t>
      </w:r>
      <w:r>
        <w:rPr>
          <w:rFonts w:hint="eastAsia" w:eastAsia="等线"/>
          <w:sz w:val="22"/>
          <w:lang w:val="en-GB"/>
        </w:rPr>
        <w:t xml:space="preserve"> </w:t>
      </w:r>
      <w:r>
        <w:rPr>
          <w:rFonts w:hint="eastAsia" w:eastAsia="等线"/>
          <w:sz w:val="22"/>
          <w:lang w:val="en-US" w:eastAsia="zh-CN"/>
        </w:rPr>
        <w:t xml:space="preserve">of </w:t>
      </w:r>
      <w:r>
        <w:rPr>
          <w:rFonts w:hint="eastAsia" w:eastAsia="等线"/>
          <w:sz w:val="22"/>
          <w:lang w:val="en-GB"/>
        </w:rPr>
        <w:t xml:space="preserve">the buffer level threshold, </w:t>
      </w:r>
      <w:r>
        <w:rPr>
          <w:rFonts w:hint="eastAsia" w:eastAsia="等线"/>
          <w:sz w:val="22"/>
          <w:lang w:val="en-US" w:eastAsia="zh-CN"/>
        </w:rPr>
        <w:t>the</w:t>
      </w:r>
      <w:r>
        <w:rPr>
          <w:rFonts w:hint="eastAsia" w:eastAsia="等线"/>
          <w:sz w:val="22"/>
          <w:lang w:val="en-GB"/>
        </w:rPr>
        <w:t xml:space="preserve"> threshold should be configured within RVQoE configuration. </w:t>
      </w:r>
      <w:r>
        <w:rPr>
          <w:rFonts w:eastAsia="等线"/>
          <w:sz w:val="22"/>
          <w:lang w:val="en-GB"/>
        </w:rPr>
        <w:t>Because</w:t>
      </w:r>
      <w:r>
        <w:rPr>
          <w:rFonts w:hint="eastAsia" w:eastAsia="等线"/>
          <w:sz w:val="22"/>
          <w:lang w:val="en-GB"/>
        </w:rPr>
        <w:t xml:space="preserve"> the AS layer needs to know whether send the RVQoE report to gNB </w:t>
      </w:r>
      <w:r>
        <w:rPr>
          <w:rFonts w:eastAsia="等线"/>
          <w:sz w:val="22"/>
          <w:lang w:val="en-GB"/>
        </w:rPr>
        <w:t>periodically</w:t>
      </w:r>
      <w:r>
        <w:rPr>
          <w:rFonts w:hint="eastAsia" w:eastAsia="等线"/>
          <w:sz w:val="22"/>
          <w:lang w:val="en-GB"/>
        </w:rPr>
        <w:t xml:space="preserve"> or based on event trigger according to this parameter. After the AS layer receiving the RVQoE configuration, the  </w:t>
      </w:r>
      <w:r>
        <w:rPr>
          <w:rFonts w:hint="eastAsia" w:eastAsia="等线"/>
          <w:sz w:val="22"/>
          <w:lang w:val="en-US" w:eastAsia="zh-CN"/>
        </w:rPr>
        <w:t>application</w:t>
      </w:r>
      <w:r>
        <w:rPr>
          <w:rFonts w:hint="eastAsia" w:eastAsia="等线"/>
          <w:sz w:val="22"/>
          <w:lang w:val="en-GB"/>
        </w:rPr>
        <w:t xml:space="preserve"> layer </w:t>
      </w:r>
      <w:r>
        <w:rPr>
          <w:rFonts w:hint="eastAsia" w:eastAsia="等线"/>
          <w:sz w:val="22"/>
          <w:lang w:val="en-US" w:eastAsia="zh-CN"/>
        </w:rPr>
        <w:t>can receive</w:t>
      </w:r>
      <w:r>
        <w:rPr>
          <w:rFonts w:hint="eastAsia" w:eastAsia="等线"/>
          <w:sz w:val="22"/>
          <w:lang w:val="en-GB"/>
        </w:rPr>
        <w:t xml:space="preserve"> the buffer level threshold </w:t>
      </w:r>
      <w:r>
        <w:rPr>
          <w:rFonts w:hint="eastAsia" w:eastAsia="等线"/>
          <w:sz w:val="22"/>
          <w:lang w:val="en-US" w:eastAsia="zh-CN"/>
        </w:rPr>
        <w:t>from</w:t>
      </w:r>
      <w:r>
        <w:rPr>
          <w:rFonts w:hint="eastAsia" w:eastAsia="等线"/>
          <w:sz w:val="22"/>
          <w:lang w:val="en-GB"/>
        </w:rPr>
        <w:t xml:space="preserve"> </w:t>
      </w:r>
      <w:r>
        <w:rPr>
          <w:rFonts w:hint="eastAsia" w:eastAsia="等线"/>
          <w:sz w:val="22"/>
          <w:lang w:val="en-US" w:eastAsia="zh-CN"/>
        </w:rPr>
        <w:t>the AS</w:t>
      </w:r>
      <w:r>
        <w:rPr>
          <w:rFonts w:hint="eastAsia" w:eastAsia="等线"/>
          <w:sz w:val="22"/>
          <w:lang w:val="en-GB"/>
        </w:rPr>
        <w:t xml:space="preserve"> layer and determine whether send the RVQoE report to AS layer based on this threshold.</w:t>
      </w:r>
    </w:p>
    <w:p>
      <w:pPr>
        <w:overflowPunct w:val="0"/>
        <w:autoSpaceDE w:val="0"/>
        <w:autoSpaceDN w:val="0"/>
        <w:adjustRightInd w:val="0"/>
        <w:spacing w:after="120" w:line="288" w:lineRule="auto"/>
        <w:textAlignment w:val="baseline"/>
        <w:rPr>
          <w:rFonts w:hint="eastAsia" w:eastAsia="等线"/>
          <w:b/>
          <w:sz w:val="22"/>
          <w:lang w:val="en-US" w:eastAsia="zh-CN"/>
        </w:rPr>
      </w:pPr>
      <w:r>
        <w:rPr>
          <w:rFonts w:hint="eastAsia" w:eastAsia="等线"/>
          <w:b/>
          <w:sz w:val="22"/>
          <w:lang w:val="en-GB"/>
        </w:rPr>
        <w:t xml:space="preserve">Proposal </w:t>
      </w:r>
      <w:r>
        <w:rPr>
          <w:rFonts w:hint="eastAsia" w:eastAsia="等线"/>
          <w:b/>
          <w:sz w:val="22"/>
          <w:lang w:val="en-US" w:eastAsia="zh-CN"/>
        </w:rPr>
        <w:t>4</w:t>
      </w:r>
      <w:r>
        <w:rPr>
          <w:rFonts w:hint="eastAsia" w:eastAsia="等线"/>
          <w:b/>
          <w:sz w:val="22"/>
          <w:lang w:val="en-GB"/>
        </w:rPr>
        <w:t xml:space="preserve">: </w:t>
      </w:r>
      <w:r>
        <w:rPr>
          <w:rFonts w:hint="eastAsia"/>
          <w:b/>
          <w:bCs/>
          <w:strike w:val="0"/>
          <w:dstrike w:val="0"/>
          <w:lang w:val="en-US" w:eastAsia="zh-CN"/>
        </w:rPr>
        <w:t>Introduce a</w:t>
      </w:r>
      <w:r>
        <w:rPr>
          <w:rFonts w:hint="eastAsia" w:eastAsia="等线"/>
          <w:b/>
          <w:sz w:val="22"/>
          <w:lang w:val="en-GB"/>
        </w:rPr>
        <w:t xml:space="preserve"> buffer level threshold</w:t>
      </w:r>
      <w:r>
        <w:rPr>
          <w:rFonts w:hint="eastAsia"/>
          <w:b/>
          <w:bCs/>
          <w:strike w:val="0"/>
          <w:dstrike w:val="0"/>
          <w:lang w:val="en-US" w:eastAsia="zh-CN"/>
        </w:rPr>
        <w:t xml:space="preserve"> information in the RVQoE </w:t>
      </w:r>
      <w:r>
        <w:rPr>
          <w:rFonts w:hint="eastAsia" w:eastAsia="等线"/>
          <w:b/>
          <w:sz w:val="22"/>
          <w:lang w:val="en-GB"/>
        </w:rPr>
        <w:t>configuration</w:t>
      </w:r>
      <w:r>
        <w:rPr>
          <w:rFonts w:hint="eastAsia"/>
          <w:b/>
          <w:bCs/>
          <w:strike w:val="0"/>
          <w:dstrike w:val="0"/>
          <w:lang w:val="en-US" w:eastAsia="zh-CN"/>
        </w:rPr>
        <w:t xml:space="preserve"> from the gNB.</w:t>
      </w:r>
    </w:p>
    <w:p>
      <w:pPr>
        <w:pStyle w:val="2"/>
        <w:rPr>
          <w:rFonts w:cs="Arial"/>
          <w:b/>
          <w:lang w:val="en-US"/>
        </w:rPr>
      </w:pPr>
      <w:r>
        <w:rPr>
          <w:rFonts w:cs="Arial"/>
          <w:b/>
          <w:lang w:val="en-US"/>
        </w:rPr>
        <w:t>Conclusion</w:t>
      </w:r>
    </w:p>
    <w:bookmarkEnd w:id="2"/>
    <w:p>
      <w:pPr>
        <w:pStyle w:val="13"/>
        <w:rPr>
          <w:rFonts w:hint="default" w:ascii="Times New Roman" w:hAnsi="Times New Roman" w:cs="Times New Roman"/>
        </w:rPr>
      </w:pPr>
      <w:r>
        <w:rPr>
          <w:rFonts w:hint="default" w:ascii="Times New Roman" w:hAnsi="Times New Roman" w:cs="Times New Roman"/>
        </w:rPr>
        <w:t xml:space="preserve">In </w:t>
      </w:r>
      <w:bookmarkStart w:id="5" w:name="_Hlk83889481"/>
      <w:r>
        <w:rPr>
          <w:rFonts w:hint="default" w:ascii="Times New Roman" w:hAnsi="Times New Roman" w:cs="Times New Roman"/>
        </w:rPr>
        <w:t xml:space="preserve">previous sections, the following observations and proposals were made: </w:t>
      </w:r>
    </w:p>
    <w:p>
      <w:pPr>
        <w:spacing w:before="120" w:after="120" w:line="260" w:lineRule="auto"/>
        <w:jc w:val="both"/>
        <w:rPr>
          <w:rFonts w:hint="default" w:eastAsia="宋体"/>
          <w:lang w:val="en-US" w:eastAsia="zh-CN"/>
        </w:rPr>
      </w:pPr>
      <w:r>
        <w:rPr>
          <w:b/>
          <w:bCs/>
        </w:rPr>
        <w:t>Proposa</w:t>
      </w:r>
      <w:r>
        <w:rPr>
          <w:rFonts w:hint="eastAsia"/>
          <w:b/>
          <w:bCs/>
          <w:lang w:val="en-US" w:eastAsia="zh-CN"/>
        </w:rPr>
        <w:t>l 1</w:t>
      </w:r>
      <w:r>
        <w:rPr>
          <w:b/>
          <w:bCs/>
        </w:rPr>
        <w:t>:</w:t>
      </w:r>
      <w:r>
        <w:rPr>
          <w:rFonts w:hint="eastAsia" w:eastAsia="宋体"/>
          <w:b/>
          <w:bCs/>
          <w:lang w:val="en-US" w:eastAsia="zh-CN"/>
        </w:rPr>
        <w:t xml:space="preserve"> RAN2 doesn</w:t>
      </w:r>
      <w:r>
        <w:rPr>
          <w:rFonts w:hint="default" w:eastAsia="宋体"/>
          <w:b/>
          <w:bCs/>
          <w:lang w:val="en-US" w:eastAsia="zh-CN"/>
        </w:rPr>
        <w:t>’</w:t>
      </w:r>
      <w:r>
        <w:rPr>
          <w:rFonts w:hint="eastAsia" w:eastAsia="宋体"/>
          <w:b/>
          <w:bCs/>
          <w:lang w:val="en-US" w:eastAsia="zh-CN"/>
        </w:rPr>
        <w:t xml:space="preserve">t discuss further enhancements (i.e. UE-based solution other than pause/resume) to deal with RAN overload </w:t>
      </w:r>
    </w:p>
    <w:p>
      <w:pPr>
        <w:spacing w:after="120" w:afterLines="50"/>
        <w:jc w:val="both"/>
        <w:rPr>
          <w:rFonts w:hint="eastAsia"/>
          <w:iCs/>
          <w:lang w:val="en-CA"/>
        </w:rPr>
      </w:pPr>
      <w:r>
        <w:rPr>
          <w:rFonts w:hint="eastAsia"/>
          <w:b/>
          <w:bCs/>
          <w:strike w:val="0"/>
          <w:dstrike w:val="0"/>
          <w:lang w:val="en-US" w:eastAsia="zh-CN"/>
        </w:rPr>
        <w:t>Proposal 2: Confirms that buffer level threshold-based triggering of RVQoE reporting is triggered by  application layer.</w:t>
      </w:r>
    </w:p>
    <w:p>
      <w:pPr>
        <w:spacing w:before="120" w:after="120" w:line="260" w:lineRule="auto"/>
        <w:jc w:val="both"/>
        <w:rPr>
          <w:rFonts w:hint="default" w:eastAsia="宋体"/>
          <w:b/>
          <w:bCs/>
          <w:lang w:val="en-US" w:eastAsia="zh-CN"/>
        </w:rPr>
      </w:pPr>
      <w:r>
        <w:rPr>
          <w:b/>
          <w:bCs/>
        </w:rPr>
        <w:t>Proposa</w:t>
      </w:r>
      <w:r>
        <w:rPr>
          <w:rFonts w:hint="eastAsia"/>
          <w:b/>
          <w:bCs/>
          <w:lang w:val="en-US" w:eastAsia="zh-CN"/>
        </w:rPr>
        <w:t>l 3</w:t>
      </w:r>
      <w:r>
        <w:rPr>
          <w:b/>
          <w:bCs/>
        </w:rPr>
        <w:t>:</w:t>
      </w:r>
      <w:r>
        <w:rPr>
          <w:rFonts w:hint="eastAsia" w:eastAsia="宋体"/>
          <w:b/>
          <w:bCs/>
          <w:lang w:val="en-US" w:eastAsia="zh-CN"/>
        </w:rPr>
        <w:t xml:space="preserve"> RAN2 waits for RA</w:t>
      </w:r>
      <w:r>
        <w:rPr>
          <w:rFonts w:hint="eastAsia"/>
          <w:b/>
          <w:bCs/>
          <w:strike w:val="0"/>
          <w:dstrike w:val="0"/>
          <w:lang w:val="en-US" w:eastAsia="zh-CN"/>
        </w:rPr>
        <w:t xml:space="preserve">N3’s conclusion </w:t>
      </w:r>
      <w:r>
        <w:rPr>
          <w:rFonts w:hint="eastAsia" w:eastAsia="宋体"/>
          <w:b/>
          <w:bCs/>
          <w:lang w:val="en-US" w:eastAsia="zh-CN"/>
        </w:rPr>
        <w:t xml:space="preserve">on the </w:t>
      </w:r>
      <w:r>
        <w:rPr>
          <w:rFonts w:hint="eastAsia" w:eastAsia="宋体"/>
          <w:b/>
          <w:bCs/>
          <w:lang w:val="en-GB" w:eastAsia="zh-CN"/>
        </w:rPr>
        <w:t>buffer</w:t>
      </w:r>
      <w:r>
        <w:rPr>
          <w:rFonts w:hint="eastAsia" w:eastAsia="宋体"/>
          <w:b/>
          <w:bCs/>
          <w:lang w:val="en-US" w:eastAsia="zh-CN"/>
        </w:rPr>
        <w:t xml:space="preserve"> level</w:t>
      </w:r>
      <w:r>
        <w:rPr>
          <w:rFonts w:hint="eastAsia" w:eastAsia="宋体"/>
          <w:b/>
          <w:bCs/>
          <w:lang w:val="en-GB" w:eastAsia="zh-CN"/>
        </w:rPr>
        <w:t xml:space="preserve"> threshold</w:t>
      </w:r>
      <w:r>
        <w:rPr>
          <w:rFonts w:hint="eastAsia" w:eastAsia="宋体"/>
          <w:b/>
          <w:bCs/>
          <w:lang w:val="en-US" w:eastAsia="zh-CN"/>
        </w:rPr>
        <w:t>-based RVQoE reporting.</w:t>
      </w:r>
    </w:p>
    <w:p>
      <w:pPr>
        <w:overflowPunct w:val="0"/>
        <w:autoSpaceDE w:val="0"/>
        <w:autoSpaceDN w:val="0"/>
        <w:adjustRightInd w:val="0"/>
        <w:spacing w:after="120" w:line="288" w:lineRule="auto"/>
        <w:textAlignment w:val="baseline"/>
        <w:rPr>
          <w:rFonts w:hint="eastAsia" w:eastAsia="等线"/>
          <w:b/>
          <w:sz w:val="22"/>
          <w:lang w:val="en-US" w:eastAsia="zh-CN"/>
        </w:rPr>
      </w:pPr>
      <w:r>
        <w:rPr>
          <w:rFonts w:hint="eastAsia" w:eastAsia="等线"/>
          <w:b/>
          <w:sz w:val="22"/>
          <w:lang w:val="en-GB"/>
        </w:rPr>
        <w:t xml:space="preserve">Proposal </w:t>
      </w:r>
      <w:r>
        <w:rPr>
          <w:rFonts w:hint="eastAsia" w:eastAsia="等线"/>
          <w:b/>
          <w:sz w:val="22"/>
          <w:lang w:val="en-US" w:eastAsia="zh-CN"/>
        </w:rPr>
        <w:t>4</w:t>
      </w:r>
      <w:r>
        <w:rPr>
          <w:rFonts w:hint="eastAsia" w:eastAsia="等线"/>
          <w:b/>
          <w:sz w:val="22"/>
          <w:lang w:val="en-GB"/>
        </w:rPr>
        <w:t xml:space="preserve">: </w:t>
      </w:r>
      <w:r>
        <w:rPr>
          <w:rFonts w:hint="eastAsia"/>
          <w:b/>
          <w:bCs/>
          <w:strike w:val="0"/>
          <w:dstrike w:val="0"/>
          <w:lang w:val="en-US" w:eastAsia="zh-CN"/>
        </w:rPr>
        <w:t>Introduce a</w:t>
      </w:r>
      <w:r>
        <w:rPr>
          <w:rFonts w:hint="eastAsia" w:eastAsia="等线"/>
          <w:b/>
          <w:sz w:val="22"/>
          <w:lang w:val="en-GB"/>
        </w:rPr>
        <w:t xml:space="preserve"> buffer level threshold</w:t>
      </w:r>
      <w:r>
        <w:rPr>
          <w:rFonts w:hint="eastAsia"/>
          <w:b/>
          <w:bCs/>
          <w:strike w:val="0"/>
          <w:dstrike w:val="0"/>
          <w:lang w:val="en-US" w:eastAsia="zh-CN"/>
        </w:rPr>
        <w:t xml:space="preserve"> information in the RVQoE </w:t>
      </w:r>
      <w:r>
        <w:rPr>
          <w:rFonts w:hint="eastAsia" w:eastAsia="等线"/>
          <w:b/>
          <w:sz w:val="22"/>
          <w:lang w:val="en-GB"/>
        </w:rPr>
        <w:t>configuration</w:t>
      </w:r>
      <w:r>
        <w:rPr>
          <w:rFonts w:hint="eastAsia"/>
          <w:b/>
          <w:bCs/>
          <w:strike w:val="0"/>
          <w:dstrike w:val="0"/>
          <w:lang w:val="en-US" w:eastAsia="zh-CN"/>
        </w:rPr>
        <w:t xml:space="preserve"> from the gNB.</w:t>
      </w:r>
    </w:p>
    <w:p>
      <w:pPr>
        <w:overflowPunct w:val="0"/>
        <w:autoSpaceDE w:val="0"/>
        <w:autoSpaceDN w:val="0"/>
        <w:adjustRightInd w:val="0"/>
        <w:spacing w:after="120" w:line="288" w:lineRule="auto"/>
        <w:textAlignment w:val="baseline"/>
      </w:pPr>
      <w:bookmarkStart w:id="7" w:name="_GoBack"/>
      <w:bookmarkEnd w:id="7"/>
      <w:r>
        <w:rPr>
          <w:rFonts w:cs="Arial"/>
          <w:b w:val="0"/>
          <w:bCs/>
        </w:rPr>
        <w:fldChar w:fldCharType="begin"/>
      </w:r>
      <w:r>
        <w:rPr>
          <w:rFonts w:cs="Arial"/>
          <w:b w:val="0"/>
          <w:bCs/>
        </w:rPr>
        <w:instrText xml:space="preserve"> TOC \n \h \z \t "Proposal" \c </w:instrText>
      </w:r>
      <w:r>
        <w:rPr>
          <w:rFonts w:cs="Arial"/>
          <w:b w:val="0"/>
          <w:bCs/>
        </w:rPr>
        <w:fldChar w:fldCharType="separate"/>
      </w:r>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szCs w:val="20"/>
          <w:lang w:eastAsia="ja-JP"/>
        </w:rPr>
      </w:pPr>
      <w:r>
        <w:rPr>
          <w:rFonts w:ascii="Arial" w:hAnsi="Arial" w:cs="Arial"/>
          <w:bCs/>
        </w:rPr>
        <w:fldChar w:fldCharType="end"/>
      </w:r>
      <w:bookmarkEnd w:id="3"/>
      <w:bookmarkEnd w:id="5"/>
      <w:r>
        <w:rPr>
          <w:rFonts w:ascii="Arial" w:hAnsi="Arial" w:eastAsia="Times New Roman" w:cs="Times New Roman"/>
          <w:sz w:val="36"/>
          <w:szCs w:val="20"/>
          <w:lang w:eastAsia="ja-JP"/>
        </w:rPr>
        <w:t xml:space="preserve"> References</w:t>
      </w:r>
    </w:p>
    <w:p>
      <w:pPr>
        <w:pStyle w:val="45"/>
        <w:numPr>
          <w:ilvl w:val="0"/>
          <w:numId w:val="11"/>
        </w:numPr>
        <w:ind w:firstLineChars="0"/>
        <w:rPr>
          <w:rFonts w:cs="Arial"/>
          <w:color w:val="000000"/>
        </w:rPr>
      </w:pPr>
      <w:bookmarkStart w:id="6" w:name="_Ref31646358"/>
      <w:r>
        <w:rPr>
          <w:rFonts w:hint="eastAsia"/>
        </w:rPr>
        <w:t>RP-22</w:t>
      </w:r>
      <w:r>
        <w:rPr>
          <w:rFonts w:hint="eastAsia" w:eastAsia="宋体"/>
          <w:lang w:val="en-US" w:eastAsia="zh-CN"/>
        </w:rPr>
        <w:t>1803</w:t>
      </w:r>
      <w:r>
        <w:rPr>
          <w:rFonts w:hint="eastAsia"/>
        </w:rPr>
        <w:t xml:space="preserve">, </w:t>
      </w:r>
      <w:r>
        <w:t xml:space="preserve">Enhancement on </w:t>
      </w:r>
      <w:r>
        <w:rPr>
          <w:lang w:eastAsia="zh-CN"/>
        </w:rPr>
        <w:t>NR QoE management and optimizations for diverse services</w:t>
      </w:r>
      <w:r>
        <w:rPr>
          <w:rFonts w:hint="default"/>
          <w:lang w:val="en-US"/>
        </w:rPr>
        <w:t xml:space="preserve">, </w:t>
      </w:r>
      <w:r>
        <w:rPr>
          <w:rFonts w:hint="eastAsia" w:eastAsia="宋体"/>
          <w:lang w:val="en-US" w:eastAsia="zh-CN"/>
        </w:rPr>
        <w:t>June</w:t>
      </w:r>
      <w:r>
        <w:rPr>
          <w:rFonts w:hint="eastAsia"/>
        </w:rPr>
        <w:t>, 2022</w:t>
      </w:r>
    </w:p>
    <w:p>
      <w:pPr>
        <w:pStyle w:val="45"/>
        <w:numPr>
          <w:ilvl w:val="0"/>
          <w:numId w:val="11"/>
        </w:numPr>
        <w:ind w:firstLineChars="0"/>
        <w:rPr>
          <w:rFonts w:cs="Arial"/>
          <w:color w:val="000000"/>
        </w:rPr>
      </w:pPr>
      <w:r>
        <w:rPr>
          <w:rFonts w:hint="eastAsia" w:eastAsia="宋体" w:cs="Arial"/>
          <w:color w:val="000000"/>
          <w:lang w:val="en-US" w:eastAsia="zh-CN"/>
        </w:rPr>
        <w:t>R2-23</w:t>
      </w:r>
      <w:r>
        <w:rPr>
          <w:rFonts w:hint="eastAsia" w:eastAsia="宋体"/>
          <w:lang w:val="en-US" w:eastAsia="zh-CN"/>
        </w:rPr>
        <w:t xml:space="preserve">02425, </w:t>
      </w:r>
      <w:r>
        <w:rPr>
          <w:rFonts w:hint="eastAsia" w:eastAsia="宋体"/>
          <w:lang w:val="en-GB" w:eastAsia="en-GB"/>
        </w:rPr>
        <w:t>LS on assistance information for handling of QoE reporting upon RAN overload</w:t>
      </w:r>
      <w:r>
        <w:rPr>
          <w:rFonts w:hint="eastAsia" w:eastAsia="宋体"/>
          <w:lang w:val="en-US" w:eastAsia="zh-CN"/>
        </w:rPr>
        <w:t xml:space="preserve">, </w:t>
      </w:r>
      <w:r>
        <w:rPr>
          <w:rFonts w:hint="eastAsia" w:eastAsia="宋体"/>
          <w:lang w:val="en-US" w:eastAsia="en-US"/>
        </w:rPr>
        <w:t>April</w:t>
      </w:r>
      <w:r>
        <w:rPr>
          <w:rFonts w:hint="eastAsia" w:eastAsia="宋体"/>
          <w:lang w:val="en-US" w:eastAsia="zh-CN"/>
        </w:rPr>
        <w:t>, 2023</w:t>
      </w:r>
    </w:p>
    <w:p>
      <w:pPr>
        <w:pStyle w:val="45"/>
        <w:numPr>
          <w:ilvl w:val="0"/>
          <w:numId w:val="11"/>
        </w:numPr>
        <w:ind w:firstLineChars="0"/>
        <w:rPr>
          <w:rFonts w:cs="Arial"/>
          <w:color w:val="000000"/>
        </w:rPr>
      </w:pPr>
      <w:r>
        <w:rPr>
          <w:rFonts w:hint="eastAsia" w:eastAsia="宋体" w:cs="Arial"/>
          <w:color w:val="000000"/>
          <w:lang w:val="en-US" w:eastAsia="zh-CN"/>
        </w:rPr>
        <w:t>R2-23</w:t>
      </w:r>
      <w:r>
        <w:rPr>
          <w:rFonts w:hint="eastAsia" w:eastAsia="宋体"/>
          <w:lang w:val="en-US" w:eastAsia="zh-CN"/>
        </w:rPr>
        <w:t xml:space="preserve">04492, </w:t>
      </w:r>
      <w:r>
        <w:rPr>
          <w:rFonts w:hint="eastAsia" w:eastAsia="宋体"/>
          <w:lang w:val="en-GB" w:eastAsia="en-GB"/>
        </w:rPr>
        <w:t>Reply LS on buffer level threshold-based RVQoE reporting</w:t>
      </w:r>
      <w:r>
        <w:rPr>
          <w:rFonts w:hint="eastAsia" w:eastAsia="宋体"/>
          <w:lang w:val="en-US" w:eastAsia="zh-CN"/>
        </w:rPr>
        <w:t xml:space="preserve">, </w:t>
      </w:r>
      <w:r>
        <w:rPr>
          <w:rFonts w:hint="eastAsia" w:eastAsia="宋体"/>
          <w:lang w:val="en-US" w:eastAsia="en-US"/>
        </w:rPr>
        <w:t>April</w:t>
      </w:r>
      <w:r>
        <w:rPr>
          <w:rFonts w:hint="eastAsia" w:eastAsia="宋体"/>
          <w:lang w:val="en-US" w:eastAsia="zh-CN"/>
        </w:rPr>
        <w:t>, 2023</w:t>
      </w:r>
    </w:p>
    <w:p>
      <w:pPr>
        <w:pStyle w:val="45"/>
        <w:numPr>
          <w:ilvl w:val="0"/>
          <w:numId w:val="0"/>
        </w:numPr>
        <w:ind w:leftChars="0"/>
        <w:rPr>
          <w:rFonts w:cs="Arial"/>
          <w:color w:val="000000"/>
        </w:rPr>
      </w:pPr>
    </w:p>
    <w:p>
      <w:pPr>
        <w:pStyle w:val="14"/>
        <w:numPr>
          <w:ilvl w:val="0"/>
          <w:numId w:val="0"/>
        </w:numPr>
        <w:ind w:left="426"/>
        <w:rPr>
          <w:lang w:val="en-US"/>
        </w:rPr>
      </w:pPr>
      <w:r>
        <w:rPr>
          <w:lang w:val="en-US"/>
        </w:rPr>
        <w:t xml:space="preserve"> </w:t>
      </w:r>
      <w:bookmarkEnd w:id="6"/>
    </w:p>
    <w:sectPr>
      <w:footerReference r:id="rId6" w:type="default"/>
      <w:headerReference r:id="rId5" w:type="even"/>
      <w:footnotePr>
        <w:numRestart w:val="eachSect"/>
      </w:footnotePr>
      <w:type w:val="continuous"/>
      <w:pgSz w:w="11907" w:h="16840"/>
      <w:pgMar w:top="1134" w:right="1134" w:bottom="1418"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汉仪仿宋简"/>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仿宋"/>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游ゴシック Light">
    <w:panose1 w:val="020B03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4008009F" w:csb1="DFD70000"/>
  </w:font>
  <w:font w:name="Segoe UI">
    <w:panose1 w:val="020B0502040204020203"/>
    <w:charset w:val="00"/>
    <w:family w:val="swiss"/>
    <w:pitch w:val="default"/>
    <w:sig w:usb0="E4002EFF" w:usb1="C000E47F"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MS Mincho">
    <w:altName w:val="MS Gothic"/>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游明朝">
    <w:altName w:val="URW Bookman"/>
    <w:panose1 w:val="00000000000000000000"/>
    <w:charset w:val="00"/>
    <w:family w:val="auto"/>
    <w:pitch w:val="default"/>
    <w:sig w:usb0="00000000" w:usb1="00000000" w:usb2="00000000" w:usb3="00000000" w:csb0="00000000" w:csb1="00000000"/>
  </w:font>
  <w:font w:name="URW Bookman">
    <w:panose1 w:val="00000400000000000000"/>
    <w:charset w:val="00"/>
    <w:family w:val="auto"/>
    <w:pitch w:val="default"/>
    <w:sig w:usb0="00000287" w:usb1="00000800" w:usb2="00000000" w:usb3="00000000" w:csb0="6000009F" w:csb1="00000000"/>
  </w:font>
  <w:font w:name="方正宋体S-超大字符集">
    <w:panose1 w:val="02000000000000000000"/>
    <w:charset w:val="86"/>
    <w:family w:val="auto"/>
    <w:pitch w:val="default"/>
    <w:sig w:usb0="00000001" w:usb1="08000000" w:usb2="00000000" w:usb3="00000000" w:csb0="00040000" w:csb1="00000000"/>
  </w:font>
  <w:font w:name="汉仪仿宋简">
    <w:panose1 w:val="02010600000101010101"/>
    <w:charset w:val="86"/>
    <w:family w:val="auto"/>
    <w:pitch w:val="default"/>
    <w:sig w:usb0="00000001" w:usb1="080E0800" w:usb2="00000002"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MS Gothic">
    <w:panose1 w:val="020B0609070205080204"/>
    <w:charset w:val="80"/>
    <w:family w:val="auto"/>
    <w:pitch w:val="default"/>
    <w:sig w:usb0="E00002FF" w:usb1="6AC7FDFB" w:usb2="08000012" w:usb3="00000000" w:csb0="4002009F" w:csb1="DFD7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820"/>
        <w:tab w:val="right" w:pos="9639"/>
      </w:tabs>
      <w:jc w:val="left"/>
    </w:pPr>
    <w:r>
      <w:tab/>
    </w:r>
    <w:r>
      <w:rPr>
        <w:rStyle w:val="25"/>
        <w:rFonts w:eastAsiaTheme="majorEastAsia"/>
      </w:rPr>
      <w:fldChar w:fldCharType="begin"/>
    </w:r>
    <w:r>
      <w:rPr>
        <w:rStyle w:val="25"/>
        <w:rFonts w:eastAsiaTheme="majorEastAsia"/>
      </w:rPr>
      <w:instrText xml:space="preserve"> PAGE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w:t>
    </w:r>
    <w:r>
      <w:rPr>
        <w:rStyle w:val="25"/>
        <w:rFonts w:eastAsiaTheme="majorEastAsia"/>
      </w:rPr>
      <w:fldChar w:fldCharType="begin"/>
    </w:r>
    <w:r>
      <w:rPr>
        <w:rStyle w:val="25"/>
        <w:rFonts w:eastAsiaTheme="majorEastAsia"/>
      </w:rPr>
      <w:instrText xml:space="preserve"> NUMPAGES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68"/>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C371C83"/>
    <w:multiLevelType w:val="multilevel"/>
    <w:tmpl w:val="1C371C83"/>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b/>
        <w:bCs/>
        <w:color w:val="auto"/>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3">
    <w:nsid w:val="1D5F9262"/>
    <w:multiLevelType w:val="multilevel"/>
    <w:tmpl w:val="1D5F9262"/>
    <w:lvl w:ilvl="0" w:tentative="0">
      <w:start w:val="1"/>
      <w:numFmt w:val="bullet"/>
      <w:lvlText w:val=""/>
      <w:lvlJc w:val="left"/>
      <w:pPr>
        <w:tabs>
          <w:tab w:val="left" w:pos="567"/>
        </w:tabs>
        <w:ind w:left="567" w:hanging="567"/>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8D51544"/>
    <w:multiLevelType w:val="multilevel"/>
    <w:tmpl w:val="38D5154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4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A27462"/>
    <w:multiLevelType w:val="multilevel"/>
    <w:tmpl w:val="3BA2746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8">
    <w:nsid w:val="5101505E"/>
    <w:multiLevelType w:val="multilevel"/>
    <w:tmpl w:val="5101505E"/>
    <w:lvl w:ilvl="0" w:tentative="0">
      <w:start w:val="1"/>
      <w:numFmt w:val="decimal"/>
      <w:pStyle w:val="4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0146DC0"/>
    <w:multiLevelType w:val="multilevel"/>
    <w:tmpl w:val="70146DC0"/>
    <w:lvl w:ilvl="0" w:tentative="0">
      <w:start w:val="1"/>
      <w:numFmt w:val="bullet"/>
      <w:pStyle w:val="64"/>
      <w:lvlText w:val=""/>
      <w:lvlJc w:val="left"/>
      <w:pPr>
        <w:tabs>
          <w:tab w:val="left" w:pos="1636"/>
        </w:tabs>
        <w:ind w:left="1636"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10"/>
  </w:num>
  <w:num w:numId="3">
    <w:abstractNumId w:val="5"/>
  </w:num>
  <w:num w:numId="4">
    <w:abstractNumId w:val="8"/>
  </w:num>
  <w:num w:numId="5">
    <w:abstractNumId w:val="9"/>
  </w:num>
  <w:num w:numId="6">
    <w:abstractNumId w:val="0"/>
  </w:num>
  <w:num w:numId="7">
    <w:abstractNumId w:val="1"/>
  </w:num>
  <w:num w:numId="8">
    <w:abstractNumId w:val="7"/>
  </w:num>
  <w:num w:numId="9">
    <w:abstractNumId w:val="3"/>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true"/>
  <w:bordersDoNotSurroundHeader w:val="false"/>
  <w:bordersDoNotSurroundFooter w:val="false"/>
  <w:documentProtection w:enforcement="0"/>
  <w:defaultTabStop w:val="720"/>
  <w:hyphenationZone w:val="425"/>
  <w:displayHorizontalDrawingGridEvery w:val="1"/>
  <w:displayVerticalDrawingGridEvery w:val="1"/>
  <w:noPunctuationKerning w:val="true"/>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3465"/>
    <w:rsid w:val="000C3A72"/>
    <w:rsid w:val="000C48D3"/>
    <w:rsid w:val="000C4BD0"/>
    <w:rsid w:val="000D1402"/>
    <w:rsid w:val="000D247C"/>
    <w:rsid w:val="000D29E8"/>
    <w:rsid w:val="000D2DBB"/>
    <w:rsid w:val="000D623A"/>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3380"/>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7EFA"/>
    <w:rsid w:val="002855B3"/>
    <w:rsid w:val="00286BCD"/>
    <w:rsid w:val="00290FAE"/>
    <w:rsid w:val="0029120A"/>
    <w:rsid w:val="00291768"/>
    <w:rsid w:val="002917CE"/>
    <w:rsid w:val="00292011"/>
    <w:rsid w:val="00292165"/>
    <w:rsid w:val="002958D6"/>
    <w:rsid w:val="0029690F"/>
    <w:rsid w:val="00296ED6"/>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390F"/>
    <w:rsid w:val="002F47CC"/>
    <w:rsid w:val="00300AE1"/>
    <w:rsid w:val="003040C1"/>
    <w:rsid w:val="00305BC3"/>
    <w:rsid w:val="00306F87"/>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E103D"/>
    <w:rsid w:val="003E2114"/>
    <w:rsid w:val="003E3BD5"/>
    <w:rsid w:val="003E424F"/>
    <w:rsid w:val="003F2084"/>
    <w:rsid w:val="003F392E"/>
    <w:rsid w:val="003F3BF6"/>
    <w:rsid w:val="003F3DCC"/>
    <w:rsid w:val="003F4E21"/>
    <w:rsid w:val="003F544E"/>
    <w:rsid w:val="003F7C7A"/>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B16C8"/>
    <w:rsid w:val="004B2DF3"/>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7D66"/>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72A"/>
    <w:rsid w:val="00595B77"/>
    <w:rsid w:val="00596247"/>
    <w:rsid w:val="0059788D"/>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9D"/>
    <w:rsid w:val="005E1D1E"/>
    <w:rsid w:val="005E21B3"/>
    <w:rsid w:val="005E5FE0"/>
    <w:rsid w:val="005E7A68"/>
    <w:rsid w:val="005F04AF"/>
    <w:rsid w:val="005F1499"/>
    <w:rsid w:val="005F1B93"/>
    <w:rsid w:val="005F2858"/>
    <w:rsid w:val="005F2FCD"/>
    <w:rsid w:val="005F3B56"/>
    <w:rsid w:val="005F52DE"/>
    <w:rsid w:val="005F5FAE"/>
    <w:rsid w:val="005F6032"/>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C056D"/>
    <w:rsid w:val="006C0CAD"/>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660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D41"/>
    <w:rsid w:val="009105AC"/>
    <w:rsid w:val="009147ED"/>
    <w:rsid w:val="009159BB"/>
    <w:rsid w:val="00916108"/>
    <w:rsid w:val="00916F9E"/>
    <w:rsid w:val="009209E1"/>
    <w:rsid w:val="00920B86"/>
    <w:rsid w:val="00921541"/>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285"/>
    <w:rsid w:val="009802E9"/>
    <w:rsid w:val="009836C1"/>
    <w:rsid w:val="00983DE7"/>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3D27"/>
    <w:rsid w:val="009D47FF"/>
    <w:rsid w:val="009D4AF2"/>
    <w:rsid w:val="009D5D6D"/>
    <w:rsid w:val="009D6E75"/>
    <w:rsid w:val="009E0B4C"/>
    <w:rsid w:val="009E279A"/>
    <w:rsid w:val="009E35DF"/>
    <w:rsid w:val="009E3A9A"/>
    <w:rsid w:val="009E4C75"/>
    <w:rsid w:val="009E57C4"/>
    <w:rsid w:val="009E6437"/>
    <w:rsid w:val="009E7AA6"/>
    <w:rsid w:val="009E7E17"/>
    <w:rsid w:val="009F104D"/>
    <w:rsid w:val="009F28E7"/>
    <w:rsid w:val="009F7236"/>
    <w:rsid w:val="00A01481"/>
    <w:rsid w:val="00A065F2"/>
    <w:rsid w:val="00A107B0"/>
    <w:rsid w:val="00A10F8F"/>
    <w:rsid w:val="00A1764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5031E"/>
    <w:rsid w:val="00B513AE"/>
    <w:rsid w:val="00B52965"/>
    <w:rsid w:val="00B54071"/>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8B8"/>
    <w:rsid w:val="00B81A34"/>
    <w:rsid w:val="00B8545D"/>
    <w:rsid w:val="00B862A1"/>
    <w:rsid w:val="00B87F43"/>
    <w:rsid w:val="00B902DF"/>
    <w:rsid w:val="00B90367"/>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B8"/>
    <w:rsid w:val="00C0337D"/>
    <w:rsid w:val="00C03AE0"/>
    <w:rsid w:val="00C074B6"/>
    <w:rsid w:val="00C1096F"/>
    <w:rsid w:val="00C11746"/>
    <w:rsid w:val="00C130BC"/>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80918"/>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223E"/>
    <w:rsid w:val="00E4298E"/>
    <w:rsid w:val="00E43440"/>
    <w:rsid w:val="00E43498"/>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72FCF"/>
    <w:rsid w:val="00E7527B"/>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E19"/>
    <w:rsid w:val="00F100C1"/>
    <w:rsid w:val="00F11B69"/>
    <w:rsid w:val="00F129C3"/>
    <w:rsid w:val="00F12FE4"/>
    <w:rsid w:val="00F13D86"/>
    <w:rsid w:val="00F147AA"/>
    <w:rsid w:val="00F15202"/>
    <w:rsid w:val="00F20B7E"/>
    <w:rsid w:val="00F21642"/>
    <w:rsid w:val="00F23244"/>
    <w:rsid w:val="00F266FF"/>
    <w:rsid w:val="00F274DE"/>
    <w:rsid w:val="00F27E55"/>
    <w:rsid w:val="00F3406A"/>
    <w:rsid w:val="00F340C0"/>
    <w:rsid w:val="00F35FB2"/>
    <w:rsid w:val="00F4044F"/>
    <w:rsid w:val="00F40C59"/>
    <w:rsid w:val="00F43264"/>
    <w:rsid w:val="00F463C7"/>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E05"/>
    <w:rsid w:val="00FB7660"/>
    <w:rsid w:val="00FC0B26"/>
    <w:rsid w:val="00FC2B61"/>
    <w:rsid w:val="00FC334D"/>
    <w:rsid w:val="00FC3A48"/>
    <w:rsid w:val="00FC3C00"/>
    <w:rsid w:val="00FC539B"/>
    <w:rsid w:val="00FC5F9A"/>
    <w:rsid w:val="00FC612A"/>
    <w:rsid w:val="00FC638A"/>
    <w:rsid w:val="00FD18B3"/>
    <w:rsid w:val="00FD1A7F"/>
    <w:rsid w:val="00FD366C"/>
    <w:rsid w:val="00FD753A"/>
    <w:rsid w:val="00FE156A"/>
    <w:rsid w:val="00FE1903"/>
    <w:rsid w:val="00FE1DD1"/>
    <w:rsid w:val="00FE573B"/>
    <w:rsid w:val="00FF0221"/>
    <w:rsid w:val="00FF137A"/>
    <w:rsid w:val="00FF2050"/>
    <w:rsid w:val="00FF3150"/>
    <w:rsid w:val="00FF6C3C"/>
    <w:rsid w:val="00FF6E7E"/>
    <w:rsid w:val="028D0E71"/>
    <w:rsid w:val="06D0D49D"/>
    <w:rsid w:val="070A7848"/>
    <w:rsid w:val="0A2B687F"/>
    <w:rsid w:val="0E3E9496"/>
    <w:rsid w:val="0F0EE4C1"/>
    <w:rsid w:val="121A43C3"/>
    <w:rsid w:val="12496A3B"/>
    <w:rsid w:val="14743F25"/>
    <w:rsid w:val="15A77CF7"/>
    <w:rsid w:val="15EFE608"/>
    <w:rsid w:val="16702F8D"/>
    <w:rsid w:val="1D856F77"/>
    <w:rsid w:val="1D954282"/>
    <w:rsid w:val="1DFBF6E4"/>
    <w:rsid w:val="1F4C11C0"/>
    <w:rsid w:val="1FBF83AB"/>
    <w:rsid w:val="1FED5282"/>
    <w:rsid w:val="24BE5892"/>
    <w:rsid w:val="26882CCD"/>
    <w:rsid w:val="26F7BF4C"/>
    <w:rsid w:val="26FF6E60"/>
    <w:rsid w:val="27E3EBE6"/>
    <w:rsid w:val="297DC4A8"/>
    <w:rsid w:val="2F8E5407"/>
    <w:rsid w:val="2FC643F1"/>
    <w:rsid w:val="2FDFBC24"/>
    <w:rsid w:val="2FF4512B"/>
    <w:rsid w:val="315601A1"/>
    <w:rsid w:val="316A5656"/>
    <w:rsid w:val="31FE24B3"/>
    <w:rsid w:val="326A457D"/>
    <w:rsid w:val="34674028"/>
    <w:rsid w:val="36EE39A5"/>
    <w:rsid w:val="39F73F8B"/>
    <w:rsid w:val="3A00635D"/>
    <w:rsid w:val="3A37F8C4"/>
    <w:rsid w:val="3A6D81E3"/>
    <w:rsid w:val="3BE3D02D"/>
    <w:rsid w:val="3BFF0C49"/>
    <w:rsid w:val="3E985826"/>
    <w:rsid w:val="3F6203BF"/>
    <w:rsid w:val="3FDFC7E2"/>
    <w:rsid w:val="3FFA43A6"/>
    <w:rsid w:val="3FFADB85"/>
    <w:rsid w:val="3FFD8422"/>
    <w:rsid w:val="456D246E"/>
    <w:rsid w:val="457B68DE"/>
    <w:rsid w:val="462420DE"/>
    <w:rsid w:val="4693A455"/>
    <w:rsid w:val="49CE6A7E"/>
    <w:rsid w:val="49D1242C"/>
    <w:rsid w:val="539C2A0E"/>
    <w:rsid w:val="53D9C654"/>
    <w:rsid w:val="53DBFC72"/>
    <w:rsid w:val="54140328"/>
    <w:rsid w:val="54576F87"/>
    <w:rsid w:val="55FD291D"/>
    <w:rsid w:val="56DD3CBA"/>
    <w:rsid w:val="570E7D91"/>
    <w:rsid w:val="5A49DD30"/>
    <w:rsid w:val="5A874152"/>
    <w:rsid w:val="5B0F4579"/>
    <w:rsid w:val="5B47CE77"/>
    <w:rsid w:val="5BBF1214"/>
    <w:rsid w:val="5EB79E98"/>
    <w:rsid w:val="5EE6136B"/>
    <w:rsid w:val="5F236657"/>
    <w:rsid w:val="5F329599"/>
    <w:rsid w:val="5F36E46B"/>
    <w:rsid w:val="5FBF9D58"/>
    <w:rsid w:val="60A80188"/>
    <w:rsid w:val="62FF9A58"/>
    <w:rsid w:val="63CED363"/>
    <w:rsid w:val="677BB4E2"/>
    <w:rsid w:val="67E56CE4"/>
    <w:rsid w:val="67EF6FDE"/>
    <w:rsid w:val="6843BC62"/>
    <w:rsid w:val="68F7816C"/>
    <w:rsid w:val="691275D4"/>
    <w:rsid w:val="6962E34B"/>
    <w:rsid w:val="69E5BA5C"/>
    <w:rsid w:val="6AEC7E8E"/>
    <w:rsid w:val="6B0278D1"/>
    <w:rsid w:val="6C286E44"/>
    <w:rsid w:val="6C76434F"/>
    <w:rsid w:val="6CA8A0BD"/>
    <w:rsid w:val="6CDFBE92"/>
    <w:rsid w:val="6CF94B0A"/>
    <w:rsid w:val="6D074150"/>
    <w:rsid w:val="6E6F6473"/>
    <w:rsid w:val="6EBD79AA"/>
    <w:rsid w:val="6EDFE721"/>
    <w:rsid w:val="6F3799A2"/>
    <w:rsid w:val="6F7E335F"/>
    <w:rsid w:val="6FC7F1BE"/>
    <w:rsid w:val="71B722E2"/>
    <w:rsid w:val="71CC12A9"/>
    <w:rsid w:val="727428C1"/>
    <w:rsid w:val="737F5333"/>
    <w:rsid w:val="73FF9F8C"/>
    <w:rsid w:val="74FD72C0"/>
    <w:rsid w:val="757BF952"/>
    <w:rsid w:val="75F73910"/>
    <w:rsid w:val="75FF69ED"/>
    <w:rsid w:val="767F27D6"/>
    <w:rsid w:val="76F43E69"/>
    <w:rsid w:val="772E1279"/>
    <w:rsid w:val="77EECA84"/>
    <w:rsid w:val="79DB820E"/>
    <w:rsid w:val="79E13B9D"/>
    <w:rsid w:val="7A6E44C1"/>
    <w:rsid w:val="7AA3A95B"/>
    <w:rsid w:val="7AA9E0DC"/>
    <w:rsid w:val="7AD659AC"/>
    <w:rsid w:val="7B751B3D"/>
    <w:rsid w:val="7BF5E087"/>
    <w:rsid w:val="7BFBF581"/>
    <w:rsid w:val="7BFF0811"/>
    <w:rsid w:val="7CB56E6F"/>
    <w:rsid w:val="7DB7BF42"/>
    <w:rsid w:val="7DBB01E5"/>
    <w:rsid w:val="7E6FD489"/>
    <w:rsid w:val="7E7F0942"/>
    <w:rsid w:val="7EB31986"/>
    <w:rsid w:val="7EBF876E"/>
    <w:rsid w:val="7EEEEF79"/>
    <w:rsid w:val="7EF62DE7"/>
    <w:rsid w:val="7F7D7656"/>
    <w:rsid w:val="7F7F5DD9"/>
    <w:rsid w:val="7F992501"/>
    <w:rsid w:val="7FA2C79D"/>
    <w:rsid w:val="7FBF218E"/>
    <w:rsid w:val="7FC78FD6"/>
    <w:rsid w:val="7FE3032F"/>
    <w:rsid w:val="7FEB0888"/>
    <w:rsid w:val="7FEC6F91"/>
    <w:rsid w:val="88FBEAE3"/>
    <w:rsid w:val="9577770E"/>
    <w:rsid w:val="9BAE45FC"/>
    <w:rsid w:val="9D49C29B"/>
    <w:rsid w:val="A3DE6C07"/>
    <w:rsid w:val="A3ED7D3E"/>
    <w:rsid w:val="AAD38468"/>
    <w:rsid w:val="ABEE53F4"/>
    <w:rsid w:val="AEFFB241"/>
    <w:rsid w:val="B57E36BC"/>
    <w:rsid w:val="B6ED9DD7"/>
    <w:rsid w:val="BA5F089D"/>
    <w:rsid w:val="BAFE1D88"/>
    <w:rsid w:val="BB6C1E6C"/>
    <w:rsid w:val="BBCB115D"/>
    <w:rsid w:val="BCF5EDDE"/>
    <w:rsid w:val="BD99F075"/>
    <w:rsid w:val="BE7E8A05"/>
    <w:rsid w:val="BEBFB4D1"/>
    <w:rsid w:val="BF2721DF"/>
    <w:rsid w:val="BF3F4E4A"/>
    <w:rsid w:val="BF57FC46"/>
    <w:rsid w:val="BF5FAE7F"/>
    <w:rsid w:val="BFBCA0CF"/>
    <w:rsid w:val="BFCEF061"/>
    <w:rsid w:val="BFDF84EB"/>
    <w:rsid w:val="BFF3D3D2"/>
    <w:rsid w:val="BFF76D42"/>
    <w:rsid w:val="BFF90683"/>
    <w:rsid w:val="C7FF8FB4"/>
    <w:rsid w:val="CB91F186"/>
    <w:rsid w:val="CBFF8685"/>
    <w:rsid w:val="CF4714AE"/>
    <w:rsid w:val="D37F4C68"/>
    <w:rsid w:val="D575FC31"/>
    <w:rsid w:val="D7E72850"/>
    <w:rsid w:val="D7F6DA9A"/>
    <w:rsid w:val="D8D5F5FA"/>
    <w:rsid w:val="D9A77203"/>
    <w:rsid w:val="DA3D3284"/>
    <w:rsid w:val="DBF91EB3"/>
    <w:rsid w:val="DDFF1BDE"/>
    <w:rsid w:val="DEFC8A9A"/>
    <w:rsid w:val="DF376FD3"/>
    <w:rsid w:val="DFBEF7FB"/>
    <w:rsid w:val="DFED06EF"/>
    <w:rsid w:val="E4BF6A47"/>
    <w:rsid w:val="E83D41F3"/>
    <w:rsid w:val="EB9F1835"/>
    <w:rsid w:val="EBF78488"/>
    <w:rsid w:val="ED5FB71C"/>
    <w:rsid w:val="EEB48D11"/>
    <w:rsid w:val="EEDFF5E9"/>
    <w:rsid w:val="F2FF8C5C"/>
    <w:rsid w:val="F3775739"/>
    <w:rsid w:val="F63F3C85"/>
    <w:rsid w:val="F6EF8C91"/>
    <w:rsid w:val="F6FC273B"/>
    <w:rsid w:val="F79D2B10"/>
    <w:rsid w:val="F7BCCA50"/>
    <w:rsid w:val="F7EE4F89"/>
    <w:rsid w:val="F7FFC831"/>
    <w:rsid w:val="F8EFD4B1"/>
    <w:rsid w:val="F9B7C2FB"/>
    <w:rsid w:val="F9BFB2A1"/>
    <w:rsid w:val="FADD67B2"/>
    <w:rsid w:val="FB4E9BD6"/>
    <w:rsid w:val="FBEFE8AE"/>
    <w:rsid w:val="FBF7563B"/>
    <w:rsid w:val="FBFFA049"/>
    <w:rsid w:val="FC71C2BC"/>
    <w:rsid w:val="FCCECD9C"/>
    <w:rsid w:val="FCF704CC"/>
    <w:rsid w:val="FCFB4383"/>
    <w:rsid w:val="FD9EE88A"/>
    <w:rsid w:val="FDDD16A7"/>
    <w:rsid w:val="FDE71F62"/>
    <w:rsid w:val="FDFF4BA5"/>
    <w:rsid w:val="FDFFA44C"/>
    <w:rsid w:val="FE7F7616"/>
    <w:rsid w:val="FEFE0680"/>
    <w:rsid w:val="FF65430A"/>
    <w:rsid w:val="FF773F42"/>
    <w:rsid w:val="FF9F2F1D"/>
    <w:rsid w:val="FFBBE741"/>
    <w:rsid w:val="FFCC92C0"/>
    <w:rsid w:val="FFCF8EED"/>
    <w:rsid w:val="FFD722E0"/>
    <w:rsid w:val="FFEF958A"/>
    <w:rsid w:val="FFFCBACC"/>
    <w:rsid w:val="FFFD2A82"/>
    <w:rsid w:val="FFFFE7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EastAsia" w:cstheme="minorBidi"/>
      <w:sz w:val="22"/>
      <w:szCs w:val="22"/>
      <w:lang w:val="en-US" w:eastAsia="en-US" w:bidi="ar-SA"/>
    </w:rPr>
  </w:style>
  <w:style w:type="paragraph" w:styleId="2">
    <w:name w:val="heading 1"/>
    <w:next w:val="1"/>
    <w:link w:val="29"/>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Times New Roman" w:cs="Times New Roman"/>
      <w:sz w:val="36"/>
      <w:szCs w:val="20"/>
      <w:lang w:val="en-GB" w:eastAsia="ja-JP" w:bidi="ar-SA"/>
    </w:rPr>
  </w:style>
  <w:style w:type="paragraph" w:styleId="3">
    <w:name w:val="heading 2"/>
    <w:basedOn w:val="1"/>
    <w:next w:val="1"/>
    <w:link w:val="30"/>
    <w:unhideWhenUsed/>
    <w:qFormat/>
    <w:uiPriority w:val="9"/>
    <w:pPr>
      <w:keepNext/>
      <w:keepLines/>
      <w:numPr>
        <w:ilvl w:val="1"/>
        <w:numId w:val="1"/>
      </w:numPr>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1"/>
    <w:next w:val="1"/>
    <w:link w:val="31"/>
    <w:unhideWhenUsed/>
    <w:qFormat/>
    <w:uiPriority w:val="9"/>
    <w:pPr>
      <w:keepNext/>
      <w:keepLines/>
      <w:numPr>
        <w:ilvl w:val="2"/>
        <w:numId w:val="1"/>
      </w:num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1"/>
    <w:next w:val="1"/>
    <w:link w:val="32"/>
    <w:semiHidden/>
    <w:unhideWhenUsed/>
    <w:qFormat/>
    <w:uiPriority w:val="9"/>
    <w:pPr>
      <w:keepNext/>
      <w:keepLines/>
      <w:numPr>
        <w:ilvl w:val="3"/>
        <w:numId w:val="1"/>
      </w:numPr>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1"/>
    <w:next w:val="1"/>
    <w:link w:val="33"/>
    <w:semiHidden/>
    <w:unhideWhenUsed/>
    <w:qFormat/>
    <w:uiPriority w:val="9"/>
    <w:pPr>
      <w:keepNext/>
      <w:keepLines/>
      <w:numPr>
        <w:ilvl w:val="4"/>
        <w:numId w:val="1"/>
      </w:numPr>
      <w:spacing w:before="40" w:after="0"/>
      <w:outlineLvl w:val="4"/>
    </w:pPr>
    <w:rPr>
      <w:rFonts w:asciiTheme="majorHAnsi" w:hAnsiTheme="majorHAnsi" w:eastAsiaTheme="majorEastAsia" w:cstheme="majorBidi"/>
      <w:color w:val="2F5597" w:themeColor="accent1" w:themeShade="BF"/>
    </w:rPr>
  </w:style>
  <w:style w:type="paragraph" w:styleId="7">
    <w:name w:val="heading 6"/>
    <w:basedOn w:val="1"/>
    <w:next w:val="1"/>
    <w:link w:val="34"/>
    <w:semiHidden/>
    <w:unhideWhenUsed/>
    <w:qFormat/>
    <w:uiPriority w:val="9"/>
    <w:pPr>
      <w:keepNext/>
      <w:keepLines/>
      <w:numPr>
        <w:ilvl w:val="5"/>
        <w:numId w:val="1"/>
      </w:numPr>
      <w:spacing w:before="40" w:after="0"/>
      <w:outlineLvl w:val="5"/>
    </w:pPr>
    <w:rPr>
      <w:rFonts w:asciiTheme="majorHAnsi" w:hAnsiTheme="majorHAnsi" w:eastAsiaTheme="majorEastAsia" w:cstheme="majorBidi"/>
      <w:color w:val="203864" w:themeColor="accent1" w:themeShade="80"/>
    </w:rPr>
  </w:style>
  <w:style w:type="paragraph" w:styleId="8">
    <w:name w:val="heading 7"/>
    <w:basedOn w:val="1"/>
    <w:next w:val="1"/>
    <w:link w:val="35"/>
    <w:semiHidden/>
    <w:unhideWhenUsed/>
    <w:qFormat/>
    <w:uiPriority w:val="9"/>
    <w:pPr>
      <w:keepNext/>
      <w:keepLines/>
      <w:numPr>
        <w:ilvl w:val="6"/>
        <w:numId w:val="1"/>
      </w:numPr>
      <w:spacing w:before="40" w:after="0"/>
      <w:outlineLvl w:val="6"/>
    </w:pPr>
    <w:rPr>
      <w:rFonts w:asciiTheme="majorHAnsi" w:hAnsiTheme="majorHAnsi" w:eastAsiaTheme="majorEastAsia" w:cstheme="majorBidi"/>
      <w:i/>
      <w:iCs/>
      <w:color w:val="203864" w:themeColor="accent1" w:themeShade="80"/>
    </w:rPr>
  </w:style>
  <w:style w:type="paragraph" w:styleId="9">
    <w:name w:val="heading 8"/>
    <w:basedOn w:val="1"/>
    <w:next w:val="1"/>
    <w:link w:val="36"/>
    <w:semiHidden/>
    <w:unhideWhenUsed/>
    <w:qFormat/>
    <w:uiPriority w:val="9"/>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0">
    <w:name w:val="heading 9"/>
    <w:basedOn w:val="1"/>
    <w:next w:val="1"/>
    <w:link w:val="37"/>
    <w:semiHidden/>
    <w:unhideWhenUsed/>
    <w:qFormat/>
    <w:uiPriority w:val="9"/>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59"/>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link w:val="47"/>
    <w:unhideWhenUsed/>
    <w:qFormat/>
    <w:uiPriority w:val="99"/>
    <w:pPr>
      <w:spacing w:line="240" w:lineRule="auto"/>
    </w:pPr>
    <w:rPr>
      <w:sz w:val="20"/>
      <w:szCs w:val="20"/>
    </w:rPr>
  </w:style>
  <w:style w:type="paragraph" w:styleId="13">
    <w:name w:val="Body Text"/>
    <w:basedOn w:val="1"/>
    <w:link w:val="40"/>
    <w:qFormat/>
    <w:uiPriority w:val="0"/>
    <w:pPr>
      <w:spacing w:after="120"/>
      <w:jc w:val="both"/>
    </w:pPr>
    <w:rPr>
      <w:rFonts w:ascii="Arial" w:hAnsi="Arial"/>
    </w:rPr>
  </w:style>
  <w:style w:type="paragraph" w:styleId="14">
    <w:name w:val="List 2"/>
    <w:basedOn w:val="1"/>
    <w:qFormat/>
    <w:uiPriority w:val="0"/>
    <w:pPr>
      <w:numPr>
        <w:ilvl w:val="0"/>
        <w:numId w:val="2"/>
      </w:numPr>
      <w:spacing w:before="180" w:after="0" w:line="240" w:lineRule="auto"/>
    </w:pPr>
    <w:rPr>
      <w:rFonts w:ascii="Arial" w:hAnsi="Arial" w:eastAsia="Batang" w:cs="Times New Roman"/>
      <w:szCs w:val="20"/>
      <w:lang w:val="en-GB"/>
    </w:rPr>
  </w:style>
  <w:style w:type="paragraph" w:styleId="15">
    <w:name w:val="Balloon Text"/>
    <w:basedOn w:val="1"/>
    <w:link w:val="46"/>
    <w:semiHidden/>
    <w:unhideWhenUsed/>
    <w:qFormat/>
    <w:uiPriority w:val="99"/>
    <w:pPr>
      <w:spacing w:after="0" w:line="240" w:lineRule="auto"/>
    </w:pPr>
    <w:rPr>
      <w:rFonts w:ascii="Segoe UI" w:hAnsi="Segoe UI" w:cs="Segoe UI"/>
      <w:sz w:val="18"/>
      <w:szCs w:val="18"/>
    </w:rPr>
  </w:style>
  <w:style w:type="paragraph" w:styleId="16">
    <w:name w:val="footer"/>
    <w:basedOn w:val="1"/>
    <w:link w:val="39"/>
    <w:qFormat/>
    <w:uiPriority w:val="0"/>
    <w:pPr>
      <w:widowControl w:val="0"/>
      <w:tabs>
        <w:tab w:val="center" w:pos="4680"/>
        <w:tab w:val="right" w:pos="9360"/>
      </w:tabs>
      <w:overflowPunct w:val="0"/>
      <w:autoSpaceDE w:val="0"/>
      <w:autoSpaceDN w:val="0"/>
      <w:adjustRightInd w:val="0"/>
      <w:jc w:val="center"/>
      <w:textAlignment w:val="baseline"/>
    </w:pPr>
    <w:rPr>
      <w:rFonts w:ascii="Arial" w:hAnsi="Arial" w:eastAsia="Times New Roman" w:cs="Times New Roman"/>
      <w:b/>
      <w:i/>
      <w:sz w:val="18"/>
      <w:szCs w:val="20"/>
      <w:lang w:val="en-GB" w:eastAsia="ja-JP"/>
    </w:rPr>
  </w:style>
  <w:style w:type="paragraph" w:styleId="17">
    <w:name w:val="header"/>
    <w:basedOn w:val="1"/>
    <w:link w:val="43"/>
    <w:unhideWhenUsed/>
    <w:qFormat/>
    <w:uiPriority w:val="99"/>
    <w:pPr>
      <w:tabs>
        <w:tab w:val="center" w:pos="4680"/>
        <w:tab w:val="right" w:pos="9360"/>
      </w:tabs>
      <w:spacing w:after="0" w:line="240" w:lineRule="auto"/>
    </w:pPr>
  </w:style>
  <w:style w:type="paragraph" w:styleId="18">
    <w:name w:val="table of figures"/>
    <w:basedOn w:val="13"/>
    <w:next w:val="1"/>
    <w:qFormat/>
    <w:uiPriority w:val="99"/>
    <w:pPr>
      <w:ind w:left="1701" w:hanging="1701"/>
      <w:jc w:val="left"/>
    </w:pPr>
    <w:rPr>
      <w:b/>
    </w:rPr>
  </w:style>
  <w:style w:type="paragraph" w:styleId="19">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styleId="20">
    <w:name w:val="Title"/>
    <w:basedOn w:val="1"/>
    <w:next w:val="1"/>
    <w:link w:val="65"/>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21">
    <w:name w:val="annotation subject"/>
    <w:basedOn w:val="12"/>
    <w:next w:val="12"/>
    <w:link w:val="48"/>
    <w:semiHidden/>
    <w:unhideWhenUsed/>
    <w:qFormat/>
    <w:uiPriority w:val="99"/>
    <w:rPr>
      <w:b/>
      <w:bCs/>
    </w:rPr>
  </w:style>
  <w:style w:type="table" w:styleId="23">
    <w:name w:val="Table Grid"/>
    <w:basedOn w:val="22"/>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FollowedHyperlink"/>
    <w:basedOn w:val="24"/>
    <w:semiHidden/>
    <w:unhideWhenUsed/>
    <w:qFormat/>
    <w:uiPriority w:val="99"/>
    <w:rPr>
      <w:color w:val="954F72" w:themeColor="followedHyperlink"/>
      <w:u w:val="single"/>
      <w14:textFill>
        <w14:solidFill>
          <w14:schemeClr w14:val="folHlink"/>
        </w14:solidFill>
      </w14:textFill>
    </w:rPr>
  </w:style>
  <w:style w:type="character" w:styleId="27">
    <w:name w:val="Hyperlink"/>
    <w:qFormat/>
    <w:uiPriority w:val="99"/>
    <w:rPr>
      <w:color w:val="0000FF"/>
      <w:u w:val="single"/>
    </w:rPr>
  </w:style>
  <w:style w:type="character" w:styleId="28">
    <w:name w:val="annotation reference"/>
    <w:basedOn w:val="24"/>
    <w:semiHidden/>
    <w:unhideWhenUsed/>
    <w:qFormat/>
    <w:uiPriority w:val="99"/>
    <w:rPr>
      <w:sz w:val="16"/>
      <w:szCs w:val="16"/>
    </w:rPr>
  </w:style>
  <w:style w:type="character" w:customStyle="1" w:styleId="29">
    <w:name w:val="Heading 1 Char"/>
    <w:basedOn w:val="24"/>
    <w:link w:val="2"/>
    <w:qFormat/>
    <w:uiPriority w:val="0"/>
    <w:rPr>
      <w:rFonts w:ascii="Arial" w:hAnsi="Arial" w:eastAsia="Times New Roman" w:cs="Times New Roman"/>
      <w:sz w:val="36"/>
      <w:szCs w:val="20"/>
      <w:lang w:val="en-GB" w:eastAsia="ja-JP"/>
    </w:rPr>
  </w:style>
  <w:style w:type="character" w:customStyle="1" w:styleId="30">
    <w:name w:val="Heading 2 Char"/>
    <w:basedOn w:val="24"/>
    <w:link w:val="3"/>
    <w:qFormat/>
    <w:uiPriority w:val="9"/>
    <w:rPr>
      <w:rFonts w:asciiTheme="majorHAnsi" w:hAnsiTheme="majorHAnsi" w:eastAsiaTheme="majorEastAsia" w:cstheme="majorBidi"/>
      <w:color w:val="2F5597" w:themeColor="accent1" w:themeShade="BF"/>
      <w:sz w:val="26"/>
      <w:szCs w:val="26"/>
    </w:rPr>
  </w:style>
  <w:style w:type="character" w:customStyle="1" w:styleId="31">
    <w:name w:val="Heading 3 Char"/>
    <w:basedOn w:val="24"/>
    <w:link w:val="4"/>
    <w:qFormat/>
    <w:uiPriority w:val="9"/>
    <w:rPr>
      <w:rFonts w:asciiTheme="majorHAnsi" w:hAnsiTheme="majorHAnsi" w:eastAsiaTheme="majorEastAsia" w:cstheme="majorBidi"/>
      <w:color w:val="203864" w:themeColor="accent1" w:themeShade="80"/>
      <w:sz w:val="24"/>
      <w:szCs w:val="24"/>
    </w:rPr>
  </w:style>
  <w:style w:type="character" w:customStyle="1" w:styleId="32">
    <w:name w:val="Heading 4 Char"/>
    <w:basedOn w:val="24"/>
    <w:link w:val="5"/>
    <w:semiHidden/>
    <w:qFormat/>
    <w:uiPriority w:val="9"/>
    <w:rPr>
      <w:rFonts w:asciiTheme="majorHAnsi" w:hAnsiTheme="majorHAnsi" w:eastAsiaTheme="majorEastAsia" w:cstheme="majorBidi"/>
      <w:i/>
      <w:iCs/>
      <w:color w:val="2F5597" w:themeColor="accent1" w:themeShade="BF"/>
    </w:rPr>
  </w:style>
  <w:style w:type="character" w:customStyle="1" w:styleId="33">
    <w:name w:val="Heading 5 Char"/>
    <w:basedOn w:val="24"/>
    <w:link w:val="6"/>
    <w:semiHidden/>
    <w:qFormat/>
    <w:uiPriority w:val="9"/>
    <w:rPr>
      <w:rFonts w:asciiTheme="majorHAnsi" w:hAnsiTheme="majorHAnsi" w:eastAsiaTheme="majorEastAsia" w:cstheme="majorBidi"/>
      <w:color w:val="2F5597" w:themeColor="accent1" w:themeShade="BF"/>
    </w:rPr>
  </w:style>
  <w:style w:type="character" w:customStyle="1" w:styleId="34">
    <w:name w:val="Heading 6 Char"/>
    <w:basedOn w:val="24"/>
    <w:link w:val="7"/>
    <w:semiHidden/>
    <w:qFormat/>
    <w:uiPriority w:val="9"/>
    <w:rPr>
      <w:rFonts w:asciiTheme="majorHAnsi" w:hAnsiTheme="majorHAnsi" w:eastAsiaTheme="majorEastAsia" w:cstheme="majorBidi"/>
      <w:color w:val="203864" w:themeColor="accent1" w:themeShade="80"/>
    </w:rPr>
  </w:style>
  <w:style w:type="character" w:customStyle="1" w:styleId="35">
    <w:name w:val="Heading 7 Char"/>
    <w:basedOn w:val="24"/>
    <w:link w:val="8"/>
    <w:semiHidden/>
    <w:qFormat/>
    <w:uiPriority w:val="9"/>
    <w:rPr>
      <w:rFonts w:asciiTheme="majorHAnsi" w:hAnsiTheme="majorHAnsi" w:eastAsiaTheme="majorEastAsia" w:cstheme="majorBidi"/>
      <w:i/>
      <w:iCs/>
      <w:color w:val="203864" w:themeColor="accent1" w:themeShade="80"/>
    </w:rPr>
  </w:style>
  <w:style w:type="character" w:customStyle="1" w:styleId="36">
    <w:name w:val="Heading 8 Char"/>
    <w:basedOn w:val="24"/>
    <w:link w:val="9"/>
    <w:semiHidden/>
    <w:qFormat/>
    <w:uiPriority w:val="9"/>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customStyle="1" w:styleId="37">
    <w:name w:val="Heading 9 Char"/>
    <w:basedOn w:val="24"/>
    <w:link w:val="10"/>
    <w:semiHidden/>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paragraph" w:customStyle="1" w:styleId="38">
    <w:name w:val="3GPP_Header"/>
    <w:basedOn w:val="13"/>
    <w:qFormat/>
    <w:uiPriority w:val="0"/>
    <w:pPr>
      <w:tabs>
        <w:tab w:val="left" w:pos="1701"/>
        <w:tab w:val="right" w:pos="9639"/>
      </w:tabs>
      <w:spacing w:after="240"/>
    </w:pPr>
    <w:rPr>
      <w:b/>
      <w:sz w:val="24"/>
    </w:rPr>
  </w:style>
  <w:style w:type="character" w:customStyle="1" w:styleId="39">
    <w:name w:val="Footer Char"/>
    <w:basedOn w:val="24"/>
    <w:link w:val="16"/>
    <w:qFormat/>
    <w:uiPriority w:val="0"/>
    <w:rPr>
      <w:rFonts w:ascii="Arial" w:hAnsi="Arial" w:eastAsia="Times New Roman" w:cs="Times New Roman"/>
      <w:b/>
      <w:i/>
      <w:sz w:val="18"/>
      <w:szCs w:val="20"/>
      <w:lang w:val="en-GB" w:eastAsia="ja-JP"/>
    </w:rPr>
  </w:style>
  <w:style w:type="character" w:customStyle="1" w:styleId="40">
    <w:name w:val="Body Text Char"/>
    <w:basedOn w:val="24"/>
    <w:link w:val="13"/>
    <w:qFormat/>
    <w:uiPriority w:val="0"/>
    <w:rPr>
      <w:rFonts w:ascii="Arial" w:hAnsi="Arial"/>
    </w:rPr>
  </w:style>
  <w:style w:type="paragraph" w:customStyle="1" w:styleId="41">
    <w:name w:val="Proposal"/>
    <w:basedOn w:val="13"/>
    <w:qFormat/>
    <w:uiPriority w:val="0"/>
    <w:pPr>
      <w:numPr>
        <w:ilvl w:val="0"/>
        <w:numId w:val="3"/>
      </w:numPr>
      <w:tabs>
        <w:tab w:val="left" w:pos="1701"/>
      </w:tabs>
      <w:spacing w:line="260" w:lineRule="auto"/>
      <w:ind w:left="567" w:hanging="567"/>
    </w:pPr>
    <w:rPr>
      <w:rFonts w:ascii="Times New Roman" w:hAnsi="Times New Roman"/>
      <w:b/>
      <w:bCs/>
    </w:rPr>
  </w:style>
  <w:style w:type="paragraph" w:customStyle="1" w:styleId="42">
    <w:name w:val="Observation"/>
    <w:basedOn w:val="41"/>
    <w:qFormat/>
    <w:uiPriority w:val="0"/>
    <w:pPr>
      <w:numPr>
        <w:ilvl w:val="0"/>
        <w:numId w:val="4"/>
      </w:numPr>
    </w:pPr>
    <w:rPr>
      <w:lang w:eastAsia="ja-JP"/>
    </w:rPr>
  </w:style>
  <w:style w:type="character" w:customStyle="1" w:styleId="43">
    <w:name w:val="Header Char"/>
    <w:basedOn w:val="24"/>
    <w:link w:val="17"/>
    <w:qFormat/>
    <w:uiPriority w:val="99"/>
  </w:style>
  <w:style w:type="character" w:customStyle="1" w:styleId="44">
    <w:name w:val="Unresolved Mention"/>
    <w:basedOn w:val="24"/>
    <w:unhideWhenUsed/>
    <w:qFormat/>
    <w:uiPriority w:val="99"/>
    <w:rPr>
      <w:color w:val="605E5C"/>
      <w:shd w:val="clear" w:color="auto" w:fill="E1DFDD"/>
    </w:rPr>
  </w:style>
  <w:style w:type="paragraph" w:styleId="45">
    <w:name w:val="List Paragraph"/>
    <w:basedOn w:val="1"/>
    <w:link w:val="60"/>
    <w:qFormat/>
    <w:uiPriority w:val="34"/>
    <w:pPr>
      <w:ind w:left="720"/>
      <w:contextualSpacing/>
    </w:pPr>
  </w:style>
  <w:style w:type="character" w:customStyle="1" w:styleId="46">
    <w:name w:val="Balloon Text Char"/>
    <w:basedOn w:val="24"/>
    <w:link w:val="15"/>
    <w:semiHidden/>
    <w:qFormat/>
    <w:uiPriority w:val="99"/>
    <w:rPr>
      <w:rFonts w:ascii="Segoe UI" w:hAnsi="Segoe UI" w:cs="Segoe UI"/>
      <w:sz w:val="18"/>
      <w:szCs w:val="18"/>
    </w:rPr>
  </w:style>
  <w:style w:type="character" w:customStyle="1" w:styleId="47">
    <w:name w:val="Comment Text Char"/>
    <w:basedOn w:val="24"/>
    <w:link w:val="12"/>
    <w:qFormat/>
    <w:uiPriority w:val="99"/>
    <w:rPr>
      <w:sz w:val="20"/>
      <w:szCs w:val="20"/>
    </w:rPr>
  </w:style>
  <w:style w:type="character" w:customStyle="1" w:styleId="48">
    <w:name w:val="Comment Subject Char"/>
    <w:basedOn w:val="47"/>
    <w:link w:val="21"/>
    <w:semiHidden/>
    <w:qFormat/>
    <w:uiPriority w:val="99"/>
    <w:rPr>
      <w:b/>
      <w:bCs/>
      <w:sz w:val="20"/>
      <w:szCs w:val="20"/>
    </w:rPr>
  </w:style>
  <w:style w:type="paragraph" w:customStyle="1" w:styleId="49">
    <w:name w:val="Default"/>
    <w:qFormat/>
    <w:uiPriority w:val="0"/>
    <w:pPr>
      <w:autoSpaceDE w:val="0"/>
      <w:autoSpaceDN w:val="0"/>
      <w:adjustRightInd w:val="0"/>
      <w:spacing w:after="0" w:line="240" w:lineRule="auto"/>
    </w:pPr>
    <w:rPr>
      <w:rFonts w:ascii="Arial" w:hAnsi="Arial" w:cs="Arial" w:eastAsiaTheme="minorEastAsia"/>
      <w:color w:val="000000"/>
      <w:sz w:val="24"/>
      <w:szCs w:val="24"/>
      <w:lang w:val="en-US" w:eastAsia="en-US" w:bidi="ar-SA"/>
    </w:rPr>
  </w:style>
  <w:style w:type="paragraph" w:customStyle="1" w:styleId="50">
    <w:name w:val="B1"/>
    <w:basedOn w:val="1"/>
    <w:link w:val="51"/>
    <w:qFormat/>
    <w:uiPriority w:val="0"/>
    <w:pPr>
      <w:spacing w:after="180" w:line="240" w:lineRule="auto"/>
      <w:ind w:left="568" w:hanging="284"/>
    </w:pPr>
    <w:rPr>
      <w:rFonts w:ascii="Times New Roman" w:hAnsi="Times New Roman" w:eastAsia="宋体" w:cs="Times New Roman"/>
      <w:sz w:val="20"/>
      <w:szCs w:val="20"/>
      <w:lang w:val="en-GB"/>
    </w:rPr>
  </w:style>
  <w:style w:type="character" w:customStyle="1" w:styleId="51">
    <w:name w:val="B1 Char1"/>
    <w:link w:val="50"/>
    <w:qFormat/>
    <w:uiPriority w:val="0"/>
    <w:rPr>
      <w:rFonts w:ascii="Times New Roman" w:hAnsi="Times New Roman" w:eastAsia="宋体" w:cs="Times New Roman"/>
      <w:sz w:val="20"/>
      <w:szCs w:val="20"/>
      <w:lang w:val="en-GB"/>
    </w:rPr>
  </w:style>
  <w:style w:type="table" w:customStyle="1" w:styleId="52">
    <w:name w:val="Grid Table 5 Dark Accent 1"/>
    <w:basedOn w:val="22"/>
    <w:qFormat/>
    <w:uiPriority w:val="50"/>
    <w:pPr>
      <w:spacing w:after="0" w:line="240" w:lineRule="auto"/>
    </w:pPr>
    <w:rPr>
      <w:rFonts w:ascii="CG Times (WN)" w:hAnsi="CG Times (WN)" w:eastAsia="Times New Roman" w:cs="Times New Roman"/>
      <w:sz w:val="20"/>
      <w:szCs w:val="20"/>
      <w:lang w:val="en-GB" w:eastAsia="en-GB"/>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53">
    <w:name w:val="Grid Table 1 Light Accent 1"/>
    <w:basedOn w:val="22"/>
    <w:qFormat/>
    <w:uiPriority w:val="46"/>
    <w:pPr>
      <w:spacing w:after="0" w:line="240" w:lineRule="auto"/>
    </w:pPr>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54">
    <w:name w:val="Grid Table 1 Light Accent 5"/>
    <w:basedOn w:val="22"/>
    <w:qFormat/>
    <w:uiPriority w:val="46"/>
    <w:pPr>
      <w:spacing w:after="0" w:line="240" w:lineRule="auto"/>
    </w:pPr>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table" w:customStyle="1" w:styleId="55">
    <w:name w:val="Grid Table 4 Accent 5"/>
    <w:basedOn w:val="22"/>
    <w:qFormat/>
    <w:uiPriority w:val="49"/>
    <w:pPr>
      <w:spacing w:after="0" w:line="240" w:lineRule="auto"/>
    </w:p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56">
    <w:name w:val="Grid Table 4"/>
    <w:basedOn w:val="22"/>
    <w:qFormat/>
    <w:uiPriority w:val="49"/>
    <w:pPr>
      <w:spacing w:after="0" w:line="240" w:lineRule="auto"/>
    </w:p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57">
    <w:name w:val="Grid Table 5 Dark"/>
    <w:basedOn w:val="22"/>
    <w:qFormat/>
    <w:uiPriority w:val="50"/>
    <w:pPr>
      <w:spacing w:after="0" w:line="240" w:lineRule="auto"/>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58">
    <w:name w:val="Grid Table 4 Accent 1"/>
    <w:basedOn w:val="22"/>
    <w:qFormat/>
    <w:uiPriority w:val="49"/>
    <w:pPr>
      <w:spacing w:after="0" w:line="240" w:lineRule="auto"/>
    </w:p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59">
    <w:name w:val="Caption Char"/>
    <w:link w:val="11"/>
    <w:qFormat/>
    <w:uiPriority w:val="35"/>
    <w:rPr>
      <w:i/>
      <w:iCs/>
      <w:color w:val="44546A" w:themeColor="text2"/>
      <w:sz w:val="18"/>
      <w:szCs w:val="18"/>
      <w14:textFill>
        <w14:solidFill>
          <w14:schemeClr w14:val="tx2"/>
        </w14:solidFill>
      </w14:textFill>
    </w:rPr>
  </w:style>
  <w:style w:type="character" w:customStyle="1" w:styleId="60">
    <w:name w:val="List Paragraph Char"/>
    <w:link w:val="45"/>
    <w:qFormat/>
    <w:locked/>
    <w:uiPriority w:val="34"/>
  </w:style>
  <w:style w:type="paragraph" w:customStyle="1" w:styleId="61">
    <w:name w:val="Revision"/>
    <w:hidden/>
    <w:semiHidden/>
    <w:qFormat/>
    <w:uiPriority w:val="99"/>
    <w:pPr>
      <w:spacing w:after="0" w:line="240" w:lineRule="auto"/>
    </w:pPr>
    <w:rPr>
      <w:rFonts w:asciiTheme="minorHAnsi" w:hAnsiTheme="minorHAnsi" w:eastAsiaTheme="minorEastAsia" w:cstheme="minorBidi"/>
      <w:sz w:val="22"/>
      <w:szCs w:val="22"/>
      <w:lang w:val="en-US" w:eastAsia="en-US" w:bidi="ar-SA"/>
    </w:rPr>
  </w:style>
  <w:style w:type="character" w:customStyle="1" w:styleId="62">
    <w:name w:val="apple-converted-space"/>
    <w:basedOn w:val="24"/>
    <w:qFormat/>
    <w:uiPriority w:val="0"/>
  </w:style>
  <w:style w:type="character" w:customStyle="1" w:styleId="63">
    <w:name w:val="Mention"/>
    <w:basedOn w:val="24"/>
    <w:unhideWhenUsed/>
    <w:qFormat/>
    <w:uiPriority w:val="99"/>
    <w:rPr>
      <w:color w:val="2B579A"/>
      <w:shd w:val="clear" w:color="auto" w:fill="E1DFDD"/>
    </w:rPr>
  </w:style>
  <w:style w:type="paragraph" w:customStyle="1" w:styleId="64">
    <w:name w:val="Agreement"/>
    <w:basedOn w:val="1"/>
    <w:next w:val="1"/>
    <w:qFormat/>
    <w:uiPriority w:val="99"/>
    <w:pPr>
      <w:numPr>
        <w:ilvl w:val="0"/>
        <w:numId w:val="5"/>
      </w:numPr>
      <w:tabs>
        <w:tab w:val="left" w:pos="1619"/>
        <w:tab w:val="clear" w:pos="1636"/>
      </w:tabs>
      <w:spacing w:before="60" w:after="0" w:line="240" w:lineRule="auto"/>
      <w:ind w:left="1619"/>
    </w:pPr>
    <w:rPr>
      <w:rFonts w:ascii="Arial" w:hAnsi="Arial" w:eastAsia="MS Mincho" w:cs="Times New Roman"/>
      <w:b/>
      <w:sz w:val="20"/>
      <w:szCs w:val="24"/>
      <w:lang w:val="en-GB" w:eastAsia="en-GB"/>
    </w:rPr>
  </w:style>
  <w:style w:type="character" w:customStyle="1" w:styleId="65">
    <w:name w:val="Title Char"/>
    <w:basedOn w:val="24"/>
    <w:link w:val="20"/>
    <w:qFormat/>
    <w:uiPriority w:val="10"/>
    <w:rPr>
      <w:rFonts w:asciiTheme="majorHAnsi" w:hAnsiTheme="majorHAnsi" w:eastAsiaTheme="majorEastAsia" w:cstheme="majorBidi"/>
      <w:spacing w:val="-10"/>
      <w:kern w:val="28"/>
      <w:sz w:val="56"/>
      <w:szCs w:val="56"/>
    </w:rPr>
  </w:style>
  <w:style w:type="paragraph" w:customStyle="1" w:styleId="66">
    <w:name w:val="IvD bodytext"/>
    <w:basedOn w:val="13"/>
    <w:link w:val="67"/>
    <w:qFormat/>
    <w:uiPriority w:val="0"/>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67">
    <w:name w:val="IvD bodytext Char"/>
    <w:basedOn w:val="24"/>
    <w:link w:val="66"/>
    <w:qFormat/>
    <w:uiPriority w:val="0"/>
    <w:rPr>
      <w:rFonts w:ascii="Arial" w:hAnsi="Arial" w:cs="Times New Roman"/>
      <w:spacing w:val="2"/>
      <w:sz w:val="20"/>
      <w:szCs w:val="20"/>
    </w:rPr>
  </w:style>
  <w:style w:type="paragraph" w:customStyle="1" w:styleId="68">
    <w:name w:val="YJ-Proposal"/>
    <w:basedOn w:val="1"/>
    <w:qFormat/>
    <w:uiPriority w:val="0"/>
    <w:pPr>
      <w:numPr>
        <w:ilvl w:val="0"/>
        <w:numId w:val="6"/>
      </w:numPr>
      <w:jc w:val="left"/>
    </w:pPr>
    <w:rPr>
      <w:rFonts w:eastAsiaTheme="minorEastAsia"/>
      <w:b/>
      <w:bCs/>
      <w:i/>
      <w:iCs/>
      <w:sz w:val="20"/>
      <w:lang w:val="en-GB" w:eastAsia="en-US"/>
    </w:rPr>
  </w:style>
  <w:style w:type="paragraph" w:customStyle="1" w:styleId="69">
    <w:name w:val="CR Cover Page"/>
    <w:qFormat/>
    <w:uiPriority w:val="0"/>
    <w:pPr>
      <w:spacing w:after="120"/>
    </w:pPr>
    <w:rPr>
      <w:rFonts w:ascii="Arial" w:hAnsi="Arial" w:eastAsia="Batang"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2948</Words>
  <Characters>16808</Characters>
  <Lines>140</Lines>
  <Paragraphs>39</Paragraphs>
  <TotalTime>0</TotalTime>
  <ScaleCrop>false</ScaleCrop>
  <LinksUpToDate>false</LinksUpToDate>
  <CharactersWithSpaces>19717</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2022-05-08T22:46:00Z</dcterms:created>
  <dc:creator>ZTE(Zhihong)</dc:creator>
  <cp:lastModifiedBy>ZTE</cp:lastModifiedBy>
  <dcterms:modified xsi:type="dcterms:W3CDTF">2023-05-12T17:26:24Z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